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57BF19" w14:textId="5224357F" w:rsidR="00A12FDB" w:rsidRPr="00D431EA" w:rsidRDefault="006B61C0" w:rsidP="0007274C">
      <w:pPr>
        <w:rPr>
          <w:sz w:val="24"/>
          <w:szCs w:val="24"/>
        </w:rPr>
      </w:pPr>
      <w:r w:rsidRPr="00D431EA">
        <w:rPr>
          <w:sz w:val="24"/>
          <w:szCs w:val="24"/>
        </w:rPr>
        <w:t>ANTH 302</w:t>
      </w:r>
    </w:p>
    <w:p w14:paraId="52252094" w14:textId="43456D81" w:rsidR="006B61C0" w:rsidRPr="00D431EA" w:rsidRDefault="006B61C0" w:rsidP="006277EC">
      <w:pPr>
        <w:spacing w:line="480" w:lineRule="auto"/>
        <w:rPr>
          <w:sz w:val="24"/>
          <w:szCs w:val="24"/>
        </w:rPr>
      </w:pPr>
      <w:r w:rsidRPr="00D431EA">
        <w:rPr>
          <w:sz w:val="24"/>
          <w:szCs w:val="24"/>
        </w:rPr>
        <w:t xml:space="preserve">Dr. Stevenson </w:t>
      </w:r>
    </w:p>
    <w:p w14:paraId="5986CF92" w14:textId="79753713" w:rsidR="00E42118" w:rsidRPr="00D431EA" w:rsidRDefault="00E42118" w:rsidP="006277EC">
      <w:pPr>
        <w:spacing w:line="480" w:lineRule="auto"/>
        <w:rPr>
          <w:sz w:val="24"/>
          <w:szCs w:val="24"/>
        </w:rPr>
      </w:pPr>
      <w:r w:rsidRPr="00D431EA">
        <w:rPr>
          <w:sz w:val="24"/>
          <w:szCs w:val="24"/>
        </w:rPr>
        <w:t>Wilson Whistler-Brown</w:t>
      </w:r>
    </w:p>
    <w:p w14:paraId="20CECF89" w14:textId="7D85423D" w:rsidR="00E42118" w:rsidRPr="00D431EA" w:rsidRDefault="00E42118" w:rsidP="006277EC">
      <w:pPr>
        <w:spacing w:line="480" w:lineRule="auto"/>
        <w:jc w:val="center"/>
        <w:rPr>
          <w:sz w:val="24"/>
          <w:szCs w:val="24"/>
        </w:rPr>
      </w:pPr>
      <w:r w:rsidRPr="00D431EA">
        <w:rPr>
          <w:sz w:val="24"/>
          <w:szCs w:val="24"/>
        </w:rPr>
        <w:t>The Origins of Inequality</w:t>
      </w:r>
    </w:p>
    <w:p w14:paraId="282CE78C" w14:textId="031B5138" w:rsidR="00880BCD" w:rsidRPr="00D431EA" w:rsidRDefault="00E42118" w:rsidP="006277EC">
      <w:pPr>
        <w:spacing w:line="480" w:lineRule="auto"/>
        <w:rPr>
          <w:sz w:val="24"/>
          <w:szCs w:val="24"/>
        </w:rPr>
      </w:pPr>
      <w:r w:rsidRPr="00D431EA">
        <w:rPr>
          <w:sz w:val="24"/>
          <w:szCs w:val="24"/>
        </w:rPr>
        <w:tab/>
      </w:r>
      <w:r w:rsidR="00880BCD" w:rsidRPr="00D431EA">
        <w:rPr>
          <w:sz w:val="24"/>
          <w:szCs w:val="24"/>
        </w:rPr>
        <w:t xml:space="preserve">“Why does social inequality exist in human societies?” Formal discussion of this specific question is surprisingly recent given the long history of human cultures being organized into various forms of hierarchy. </w:t>
      </w:r>
      <w:r w:rsidRPr="00D431EA">
        <w:rPr>
          <w:sz w:val="24"/>
          <w:szCs w:val="24"/>
        </w:rPr>
        <w:t>Inequality has historically been considered a natural consequence of organized society, and arguments about when social inequality began have been the focus of a great deal of research. Some claim it really stems from industrialization, others with the invention of private property, while still others project inequality beginning with the invention of agriculture. New research offers a more dynamic approach to studying the history of inequality by interrogating the foundations of the assumption that social inequality has a definitive beginning.</w:t>
      </w:r>
    </w:p>
    <w:p w14:paraId="68E47418" w14:textId="038AD13C" w:rsidR="00A83C52" w:rsidRPr="00D431EA" w:rsidRDefault="00880BCD" w:rsidP="006277EC">
      <w:pPr>
        <w:spacing w:line="480" w:lineRule="auto"/>
        <w:rPr>
          <w:sz w:val="24"/>
          <w:szCs w:val="24"/>
        </w:rPr>
      </w:pPr>
      <w:r w:rsidRPr="00D431EA">
        <w:rPr>
          <w:sz w:val="24"/>
          <w:szCs w:val="24"/>
        </w:rPr>
        <w:tab/>
        <w:t>In 1754</w:t>
      </w:r>
      <w:r w:rsidR="005D1E5E" w:rsidRPr="00D431EA">
        <w:rPr>
          <w:sz w:val="24"/>
          <w:szCs w:val="24"/>
        </w:rPr>
        <w:t xml:space="preserve">, the Académie de Dijon created an essay competition to answer the question: “What is the origin of inequality among people, and is it authorized by Natural Law?” Jean-Jacques </w:t>
      </w:r>
      <w:r w:rsidR="00745F1A" w:rsidRPr="00D431EA">
        <w:rPr>
          <w:sz w:val="24"/>
          <w:szCs w:val="24"/>
        </w:rPr>
        <w:t xml:space="preserve">Rousseau, having won the Académie’s previous essay competition about morals in the arts and sciences, entered an essay entitled </w:t>
      </w:r>
      <w:r w:rsidR="00745F1A" w:rsidRPr="00D431EA">
        <w:rPr>
          <w:i/>
          <w:iCs/>
          <w:sz w:val="24"/>
          <w:szCs w:val="24"/>
        </w:rPr>
        <w:t>Discourse on the Origin and Basis of Inequality Among Men</w:t>
      </w:r>
      <w:r w:rsidR="00745F1A" w:rsidRPr="00D431EA">
        <w:rPr>
          <w:sz w:val="24"/>
          <w:szCs w:val="24"/>
        </w:rPr>
        <w:t>. His entry lost, mainly because it was well over the maximum length set out in the competition’s rules</w:t>
      </w:r>
      <w:r w:rsidR="00243F8F" w:rsidRPr="00D431EA">
        <w:rPr>
          <w:sz w:val="24"/>
          <w:szCs w:val="24"/>
        </w:rPr>
        <w:t xml:space="preserve">, but it heavily influenced popular conceptions of social evolution. In this </w:t>
      </w:r>
      <w:r w:rsidR="00243F8F" w:rsidRPr="00D431EA">
        <w:rPr>
          <w:i/>
          <w:iCs/>
          <w:sz w:val="24"/>
          <w:szCs w:val="24"/>
        </w:rPr>
        <w:t>Discourse</w:t>
      </w:r>
      <w:r w:rsidR="00243F8F" w:rsidRPr="00D431EA">
        <w:rPr>
          <w:sz w:val="24"/>
          <w:szCs w:val="24"/>
        </w:rPr>
        <w:t xml:space="preserve">, Rousseau developed a thought experiment supposing that humans began in a “State of Nature” defined by fear of others and complete freedom. Therefore, in order for society to </w:t>
      </w:r>
      <w:r w:rsidR="00462EC7" w:rsidRPr="00D431EA">
        <w:rPr>
          <w:sz w:val="24"/>
          <w:szCs w:val="24"/>
        </w:rPr>
        <w:lastRenderedPageBreak/>
        <w:t>begin to exist,</w:t>
      </w:r>
      <w:r w:rsidR="005D1E5E" w:rsidRPr="00D431EA">
        <w:rPr>
          <w:sz w:val="24"/>
          <w:szCs w:val="24"/>
        </w:rPr>
        <w:t xml:space="preserve"> </w:t>
      </w:r>
      <w:r w:rsidR="00462EC7" w:rsidRPr="00D431EA">
        <w:rPr>
          <w:sz w:val="24"/>
          <w:szCs w:val="24"/>
        </w:rPr>
        <w:t>humans</w:t>
      </w:r>
      <w:r w:rsidR="00243F8F" w:rsidRPr="00D431EA">
        <w:rPr>
          <w:sz w:val="24"/>
          <w:szCs w:val="24"/>
        </w:rPr>
        <w:t xml:space="preserve"> must have</w:t>
      </w:r>
      <w:r w:rsidR="00462EC7" w:rsidRPr="00D431EA">
        <w:rPr>
          <w:sz w:val="24"/>
          <w:szCs w:val="24"/>
        </w:rPr>
        <w:t xml:space="preserve"> agreed to</w:t>
      </w:r>
      <w:r w:rsidR="00243F8F" w:rsidRPr="00D431EA">
        <w:rPr>
          <w:sz w:val="24"/>
          <w:szCs w:val="24"/>
        </w:rPr>
        <w:t xml:space="preserve"> limit</w:t>
      </w:r>
      <w:r w:rsidR="00462EC7" w:rsidRPr="00D431EA">
        <w:rPr>
          <w:sz w:val="24"/>
          <w:szCs w:val="24"/>
        </w:rPr>
        <w:t xml:space="preserve"> </w:t>
      </w:r>
      <w:r w:rsidR="00243F8F" w:rsidRPr="00D431EA">
        <w:rPr>
          <w:sz w:val="24"/>
          <w:szCs w:val="24"/>
        </w:rPr>
        <w:t>individual freedom</w:t>
      </w:r>
      <w:r w:rsidR="00462EC7" w:rsidRPr="00D431EA">
        <w:rPr>
          <w:sz w:val="24"/>
          <w:szCs w:val="24"/>
        </w:rPr>
        <w:t>s in the name of security against transgression. Every step along the evolutionary path from savagery to civilization necessarily involves a degradation of morality, and hence we arrive at the present where kings and states have absolute authority over the common man whose security is supposedly protected.</w:t>
      </w:r>
      <w:r w:rsidR="00B61137" w:rsidRPr="00D431EA">
        <w:rPr>
          <w:sz w:val="24"/>
          <w:szCs w:val="24"/>
        </w:rPr>
        <w:t xml:space="preserve"> Rousseau goes on to conclude that the true origin of social inequality is the creation of private property: “</w:t>
      </w:r>
      <w:r w:rsidR="006912C7" w:rsidRPr="00D431EA">
        <w:rPr>
          <w:sz w:val="24"/>
          <w:szCs w:val="24"/>
        </w:rPr>
        <w:t>The first person who, having enclosed a plot of land, took it into his head to say, 'This is mine,' and found people simple enough to believe him, was the true founder of civil society.”</w:t>
      </w:r>
      <w:sdt>
        <w:sdtPr>
          <w:rPr>
            <w:sz w:val="24"/>
            <w:szCs w:val="24"/>
          </w:rPr>
          <w:id w:val="-378634506"/>
          <w:citation/>
        </w:sdtPr>
        <w:sdtContent>
          <w:r w:rsidR="00B43A39" w:rsidRPr="00D431EA">
            <w:rPr>
              <w:sz w:val="24"/>
              <w:szCs w:val="24"/>
            </w:rPr>
            <w:fldChar w:fldCharType="begin"/>
          </w:r>
          <w:r w:rsidR="00B43A39" w:rsidRPr="00D431EA">
            <w:rPr>
              <w:sz w:val="24"/>
              <w:szCs w:val="24"/>
            </w:rPr>
            <w:instrText xml:space="preserve"> CITATION Jea09 \l 1033 </w:instrText>
          </w:r>
          <w:r w:rsidR="00B43A39" w:rsidRPr="00D431EA">
            <w:rPr>
              <w:sz w:val="24"/>
              <w:szCs w:val="24"/>
            </w:rPr>
            <w:fldChar w:fldCharType="separate"/>
          </w:r>
          <w:r w:rsidR="00B43A39" w:rsidRPr="00D431EA">
            <w:rPr>
              <w:noProof/>
              <w:sz w:val="24"/>
              <w:szCs w:val="24"/>
            </w:rPr>
            <w:t xml:space="preserve"> (Rousseau, 2009)</w:t>
          </w:r>
          <w:r w:rsidR="00B43A39" w:rsidRPr="00D431EA">
            <w:rPr>
              <w:sz w:val="24"/>
              <w:szCs w:val="24"/>
            </w:rPr>
            <w:fldChar w:fldCharType="end"/>
          </w:r>
        </w:sdtContent>
      </w:sdt>
      <w:r w:rsidR="006912C7" w:rsidRPr="00D431EA">
        <w:rPr>
          <w:sz w:val="24"/>
          <w:szCs w:val="24"/>
        </w:rPr>
        <w:t xml:space="preserve"> </w:t>
      </w:r>
      <w:r w:rsidR="00095710" w:rsidRPr="00D431EA">
        <w:rPr>
          <w:sz w:val="24"/>
          <w:szCs w:val="24"/>
        </w:rPr>
        <w:t xml:space="preserve">The “State of Nature” thought experiment put forth in </w:t>
      </w:r>
      <w:r w:rsidR="00095710" w:rsidRPr="00D431EA">
        <w:rPr>
          <w:i/>
          <w:iCs/>
          <w:sz w:val="24"/>
          <w:szCs w:val="24"/>
        </w:rPr>
        <w:t>Discourse</w:t>
      </w:r>
      <w:r w:rsidR="00095710" w:rsidRPr="00D431EA">
        <w:rPr>
          <w:sz w:val="24"/>
          <w:szCs w:val="24"/>
        </w:rPr>
        <w:t xml:space="preserve"> was not meant to be taken so literally as the </w:t>
      </w:r>
      <w:r w:rsidR="00A83C52" w:rsidRPr="00D431EA">
        <w:rPr>
          <w:sz w:val="24"/>
          <w:szCs w:val="24"/>
        </w:rPr>
        <w:t>conclusion about private property, but it has nonetheless influenced many thinkers and whole fields of research since. Anthropology itself has a long history of categorizing other cultures by which “stage” of social evolution they were determined to be.</w:t>
      </w:r>
    </w:p>
    <w:p w14:paraId="25108DB2" w14:textId="34136CD1" w:rsidR="00D608F6" w:rsidRPr="00D431EA" w:rsidRDefault="00A83C52" w:rsidP="006277EC">
      <w:pPr>
        <w:spacing w:line="480" w:lineRule="auto"/>
        <w:ind w:firstLine="720"/>
        <w:rPr>
          <w:sz w:val="24"/>
          <w:szCs w:val="24"/>
        </w:rPr>
      </w:pPr>
      <w:r w:rsidRPr="00D431EA">
        <w:rPr>
          <w:sz w:val="24"/>
          <w:szCs w:val="24"/>
        </w:rPr>
        <w:t xml:space="preserve">Turning to the critique of private property, Rousseau argued well but he was not the first person to describe European property relations so negatively. </w:t>
      </w:r>
      <w:r w:rsidR="000D4F3A" w:rsidRPr="00D431EA">
        <w:rPr>
          <w:sz w:val="24"/>
          <w:szCs w:val="24"/>
        </w:rPr>
        <w:t>By the early 1700s, accounts of life in the New World were becoming popular throughout Europe. French Jesuits wrote about the</w:t>
      </w:r>
      <w:r w:rsidR="009737E2" w:rsidRPr="00D431EA">
        <w:rPr>
          <w:sz w:val="24"/>
          <w:szCs w:val="24"/>
        </w:rPr>
        <w:t xml:space="preserve"> scandalous</w:t>
      </w:r>
      <w:r w:rsidR="000D4F3A" w:rsidRPr="00D431EA">
        <w:rPr>
          <w:sz w:val="24"/>
          <w:szCs w:val="24"/>
        </w:rPr>
        <w:t xml:space="preserve"> individual liberties of Indigenous women in New France, and publications containing conversations with “well-traveled Indians” </w:t>
      </w:r>
      <w:r w:rsidR="00250FA0" w:rsidRPr="00D431EA">
        <w:rPr>
          <w:sz w:val="24"/>
          <w:szCs w:val="24"/>
        </w:rPr>
        <w:t>laid out serious critiques of European life.</w:t>
      </w:r>
      <w:sdt>
        <w:sdtPr>
          <w:rPr>
            <w:sz w:val="24"/>
            <w:szCs w:val="24"/>
          </w:rPr>
          <w:id w:val="548429059"/>
          <w:citation/>
        </w:sdtPr>
        <w:sdtContent>
          <w:r w:rsidR="00250FA0" w:rsidRPr="00D431EA">
            <w:rPr>
              <w:sz w:val="24"/>
              <w:szCs w:val="24"/>
            </w:rPr>
            <w:fldChar w:fldCharType="begin"/>
          </w:r>
          <w:r w:rsidR="00250FA0" w:rsidRPr="00D431EA">
            <w:rPr>
              <w:sz w:val="24"/>
              <w:szCs w:val="24"/>
            </w:rPr>
            <w:instrText xml:space="preserve"> CITATION Gra21 \l 1033 </w:instrText>
          </w:r>
          <w:r w:rsidR="00250FA0" w:rsidRPr="00D431EA">
            <w:rPr>
              <w:sz w:val="24"/>
              <w:szCs w:val="24"/>
            </w:rPr>
            <w:fldChar w:fldCharType="separate"/>
          </w:r>
          <w:r w:rsidR="00EA5B43" w:rsidRPr="00D431EA">
            <w:rPr>
              <w:noProof/>
              <w:sz w:val="24"/>
              <w:szCs w:val="24"/>
            </w:rPr>
            <w:t xml:space="preserve"> (Graeber &amp; Wengrow, 2021)</w:t>
          </w:r>
          <w:r w:rsidR="00250FA0" w:rsidRPr="00D431EA">
            <w:rPr>
              <w:sz w:val="24"/>
              <w:szCs w:val="24"/>
            </w:rPr>
            <w:fldChar w:fldCharType="end"/>
          </w:r>
        </w:sdtContent>
      </w:sdt>
      <w:r w:rsidR="00250FA0" w:rsidRPr="00D431EA">
        <w:rPr>
          <w:sz w:val="24"/>
          <w:szCs w:val="24"/>
        </w:rPr>
        <w:t xml:space="preserve"> In particular, the European’s perplexing use of money and wealth as tools of power rather than simple representations of value and their obsession with private property. This is not to say that Rousseau was simply plagiarizing the arguments of Wendat </w:t>
      </w:r>
      <w:r w:rsidR="00250FA0" w:rsidRPr="00D431EA">
        <w:rPr>
          <w:sz w:val="24"/>
          <w:szCs w:val="24"/>
        </w:rPr>
        <w:lastRenderedPageBreak/>
        <w:t>(Huron)</w:t>
      </w:r>
      <w:r w:rsidR="00C26417" w:rsidRPr="00D431EA">
        <w:rPr>
          <w:rStyle w:val="FootnoteReference"/>
          <w:sz w:val="24"/>
          <w:szCs w:val="24"/>
        </w:rPr>
        <w:footnoteReference w:id="1"/>
      </w:r>
      <w:r w:rsidR="00F471E8" w:rsidRPr="00D431EA">
        <w:rPr>
          <w:sz w:val="24"/>
          <w:szCs w:val="24"/>
        </w:rPr>
        <w:t>,</w:t>
      </w:r>
      <w:r w:rsidR="00250FA0" w:rsidRPr="00D431EA">
        <w:rPr>
          <w:sz w:val="24"/>
          <w:szCs w:val="24"/>
        </w:rPr>
        <w:t xml:space="preserve"> Iroquois</w:t>
      </w:r>
      <w:r w:rsidR="00F471E8" w:rsidRPr="00D431EA">
        <w:rPr>
          <w:sz w:val="24"/>
          <w:szCs w:val="24"/>
        </w:rPr>
        <w:t>, and other</w:t>
      </w:r>
      <w:r w:rsidR="00250FA0" w:rsidRPr="00D431EA">
        <w:rPr>
          <w:sz w:val="24"/>
          <w:szCs w:val="24"/>
        </w:rPr>
        <w:t xml:space="preserve"> criti</w:t>
      </w:r>
      <w:r w:rsidR="00F471E8" w:rsidRPr="00D431EA">
        <w:rPr>
          <w:sz w:val="24"/>
          <w:szCs w:val="24"/>
        </w:rPr>
        <w:t>c</w:t>
      </w:r>
      <w:r w:rsidR="00250FA0" w:rsidRPr="00D431EA">
        <w:rPr>
          <w:sz w:val="24"/>
          <w:szCs w:val="24"/>
        </w:rPr>
        <w:t>s in New France</w:t>
      </w:r>
      <w:r w:rsidR="00F471E8" w:rsidRPr="00D431EA">
        <w:rPr>
          <w:sz w:val="24"/>
          <w:szCs w:val="24"/>
        </w:rPr>
        <w:t xml:space="preserve">, but that critiques of European lifestyles and cultures were not unfamiliar to more educated elements of society. </w:t>
      </w:r>
    </w:p>
    <w:p w14:paraId="71EC778C" w14:textId="154D1326" w:rsidR="00B61137" w:rsidRPr="00D431EA" w:rsidRDefault="00F471E8" w:rsidP="006277EC">
      <w:pPr>
        <w:spacing w:line="480" w:lineRule="auto"/>
        <w:ind w:firstLine="720"/>
        <w:rPr>
          <w:sz w:val="24"/>
          <w:szCs w:val="24"/>
        </w:rPr>
      </w:pPr>
      <w:r w:rsidRPr="00D431EA">
        <w:rPr>
          <w:sz w:val="24"/>
          <w:szCs w:val="24"/>
        </w:rPr>
        <w:t xml:space="preserve">This prior understanding of an Indigenous critique may have been the foundation on which Rousseau built his thought experiment, </w:t>
      </w:r>
      <w:r w:rsidR="00D608F6" w:rsidRPr="00D431EA">
        <w:rPr>
          <w:sz w:val="24"/>
          <w:szCs w:val="24"/>
        </w:rPr>
        <w:t xml:space="preserve">but unfortunately his purely rhetorical intent has not remained clear over the hundreds of years since </w:t>
      </w:r>
      <w:r w:rsidR="00D608F6" w:rsidRPr="00D431EA">
        <w:rPr>
          <w:i/>
          <w:iCs/>
          <w:sz w:val="24"/>
          <w:szCs w:val="24"/>
        </w:rPr>
        <w:t xml:space="preserve">Discourse on the Origin and Basis of Inequality Among Men </w:t>
      </w:r>
      <w:r w:rsidR="00D608F6" w:rsidRPr="00D431EA">
        <w:rPr>
          <w:sz w:val="24"/>
          <w:szCs w:val="24"/>
        </w:rPr>
        <w:t>was published and assumptions about life in the pre-Columbian New World now often range from Engels’ primitive communism to a Hobbesian nightmare of all against all. Modern economists, in particular, seem prone to these assumptions</w:t>
      </w:r>
      <w:r w:rsidR="008F5479" w:rsidRPr="00D431EA">
        <w:rPr>
          <w:sz w:val="24"/>
          <w:szCs w:val="24"/>
        </w:rPr>
        <w:t xml:space="preserve">. A paper titled “Energy, Hierarchy, and the Origin of Inequality” starts from the assumption that the energy usage contemporary to modern life can be extrapolated backwards to find the true root of inequality. </w:t>
      </w:r>
      <w:sdt>
        <w:sdtPr>
          <w:rPr>
            <w:sz w:val="24"/>
            <w:szCs w:val="24"/>
          </w:rPr>
          <w:id w:val="-2067172228"/>
          <w:citation/>
        </w:sdtPr>
        <w:sdtContent>
          <w:r w:rsidR="008F5479" w:rsidRPr="00D431EA">
            <w:rPr>
              <w:sz w:val="24"/>
              <w:szCs w:val="24"/>
            </w:rPr>
            <w:fldChar w:fldCharType="begin"/>
          </w:r>
          <w:r w:rsidR="008F5479" w:rsidRPr="00D431EA">
            <w:rPr>
              <w:sz w:val="24"/>
              <w:szCs w:val="24"/>
            </w:rPr>
            <w:instrText xml:space="preserve"> CITATION Fix19 \l 1033 </w:instrText>
          </w:r>
          <w:r w:rsidR="008F5479" w:rsidRPr="00D431EA">
            <w:rPr>
              <w:sz w:val="24"/>
              <w:szCs w:val="24"/>
            </w:rPr>
            <w:fldChar w:fldCharType="separate"/>
          </w:r>
          <w:r w:rsidR="00EA5B43" w:rsidRPr="00D431EA">
            <w:rPr>
              <w:noProof/>
              <w:sz w:val="24"/>
              <w:szCs w:val="24"/>
            </w:rPr>
            <w:t>(Fix, 2019)</w:t>
          </w:r>
          <w:r w:rsidR="008F5479" w:rsidRPr="00D431EA">
            <w:rPr>
              <w:sz w:val="24"/>
              <w:szCs w:val="24"/>
            </w:rPr>
            <w:fldChar w:fldCharType="end"/>
          </w:r>
        </w:sdtContent>
      </w:sdt>
      <w:r w:rsidR="008F5479" w:rsidRPr="00D431EA">
        <w:rPr>
          <w:sz w:val="24"/>
          <w:szCs w:val="24"/>
        </w:rPr>
        <w:t xml:space="preserve"> The paper does cite archaeological work from the last twenty years, but its approach and premise are inherently flawed</w:t>
      </w:r>
      <w:r w:rsidR="00AB66F9" w:rsidRPr="00D431EA">
        <w:rPr>
          <w:sz w:val="24"/>
          <w:szCs w:val="24"/>
        </w:rPr>
        <w:t>. Institution size is assumed to increase over time and is used as an indicator of hierarchy, which is in turn assumed to function as a pyramid scheme to allow for calculations of individual income. The abstract alone posits that archaeological evidence of inequality is “sparse” and that humans have lived in “fiercely egalitarian” societies for the majority of our species’ existence.</w:t>
      </w:r>
      <w:sdt>
        <w:sdtPr>
          <w:rPr>
            <w:sz w:val="24"/>
            <w:szCs w:val="24"/>
          </w:rPr>
          <w:id w:val="1902173438"/>
          <w:citation/>
        </w:sdtPr>
        <w:sdtContent>
          <w:r w:rsidR="00AB66F9" w:rsidRPr="00D431EA">
            <w:rPr>
              <w:sz w:val="24"/>
              <w:szCs w:val="24"/>
            </w:rPr>
            <w:fldChar w:fldCharType="begin"/>
          </w:r>
          <w:r w:rsidR="00AB66F9" w:rsidRPr="00D431EA">
            <w:rPr>
              <w:sz w:val="24"/>
              <w:szCs w:val="24"/>
            </w:rPr>
            <w:instrText xml:space="preserve"> CITATION Fix19 \l 1033 </w:instrText>
          </w:r>
          <w:r w:rsidR="00AB66F9" w:rsidRPr="00D431EA">
            <w:rPr>
              <w:sz w:val="24"/>
              <w:szCs w:val="24"/>
            </w:rPr>
            <w:fldChar w:fldCharType="separate"/>
          </w:r>
          <w:r w:rsidR="00EA5B43" w:rsidRPr="00D431EA">
            <w:rPr>
              <w:noProof/>
              <w:sz w:val="24"/>
              <w:szCs w:val="24"/>
            </w:rPr>
            <w:t xml:space="preserve"> (Fix, 2019)</w:t>
          </w:r>
          <w:r w:rsidR="00AB66F9" w:rsidRPr="00D431EA">
            <w:rPr>
              <w:sz w:val="24"/>
              <w:szCs w:val="24"/>
            </w:rPr>
            <w:fldChar w:fldCharType="end"/>
          </w:r>
        </w:sdtContent>
      </w:sdt>
      <w:r w:rsidR="00AB66F9" w:rsidRPr="00D431EA">
        <w:rPr>
          <w:sz w:val="24"/>
          <w:szCs w:val="24"/>
        </w:rPr>
        <w:t xml:space="preserve"> </w:t>
      </w:r>
      <w:r w:rsidR="00AB5650" w:rsidRPr="00D431EA">
        <w:rPr>
          <w:sz w:val="24"/>
          <w:szCs w:val="24"/>
        </w:rPr>
        <w:t>The paper arrives at the conclusion that the agricultural revolution is the true source of inequality</w:t>
      </w:r>
      <w:r w:rsidR="00AB66F9" w:rsidRPr="00D431EA">
        <w:rPr>
          <w:sz w:val="24"/>
          <w:szCs w:val="24"/>
        </w:rPr>
        <w:t xml:space="preserve"> </w:t>
      </w:r>
      <w:r w:rsidR="00AB5650" w:rsidRPr="00D431EA">
        <w:rPr>
          <w:sz w:val="24"/>
          <w:szCs w:val="24"/>
        </w:rPr>
        <w:t xml:space="preserve">because agricultural surpluses provided the energy to create large hierarchies. </w:t>
      </w:r>
      <w:r w:rsidR="00C26417" w:rsidRPr="00D431EA">
        <w:rPr>
          <w:sz w:val="24"/>
          <w:szCs w:val="24"/>
        </w:rPr>
        <w:t xml:space="preserve">This is not completely wrong. Agricultural surplus is surely the cornerstone of state formation, but to therefore </w:t>
      </w:r>
      <w:r w:rsidR="00C26417" w:rsidRPr="00D431EA">
        <w:rPr>
          <w:sz w:val="24"/>
          <w:szCs w:val="24"/>
        </w:rPr>
        <w:lastRenderedPageBreak/>
        <w:t xml:space="preserve">assume that </w:t>
      </w:r>
      <w:r w:rsidR="009737E2" w:rsidRPr="00D431EA">
        <w:rPr>
          <w:sz w:val="24"/>
          <w:szCs w:val="24"/>
        </w:rPr>
        <w:t>hunter-gatherer</w:t>
      </w:r>
      <w:r w:rsidR="00C26417" w:rsidRPr="00D431EA">
        <w:rPr>
          <w:sz w:val="24"/>
          <w:szCs w:val="24"/>
        </w:rPr>
        <w:t xml:space="preserve"> societies must be “fiercely egalitarian” is to pretend Rousseau’s State of Nature was</w:t>
      </w:r>
      <w:r w:rsidR="009737E2" w:rsidRPr="00D431EA">
        <w:rPr>
          <w:sz w:val="24"/>
          <w:szCs w:val="24"/>
        </w:rPr>
        <w:t xml:space="preserve"> ever</w:t>
      </w:r>
      <w:r w:rsidR="00C26417" w:rsidRPr="00D431EA">
        <w:rPr>
          <w:sz w:val="24"/>
          <w:szCs w:val="24"/>
        </w:rPr>
        <w:t xml:space="preserve"> real. Economics can be justifiably ignored as a source for the answer to when social inequality began, and next we shall turn to some hopefully more insightful work.</w:t>
      </w:r>
    </w:p>
    <w:p w14:paraId="7FB08DBA" w14:textId="04CDF178" w:rsidR="00C26417" w:rsidRPr="00D431EA" w:rsidRDefault="00C26417" w:rsidP="006277EC">
      <w:pPr>
        <w:spacing w:line="480" w:lineRule="auto"/>
        <w:rPr>
          <w:b/>
          <w:bCs/>
          <w:sz w:val="24"/>
          <w:szCs w:val="24"/>
        </w:rPr>
      </w:pPr>
      <w:r w:rsidRPr="00D431EA">
        <w:rPr>
          <w:b/>
          <w:bCs/>
          <w:sz w:val="24"/>
          <w:szCs w:val="24"/>
        </w:rPr>
        <w:t>Theories of Affluence, Inequality, and Value</w:t>
      </w:r>
    </w:p>
    <w:p w14:paraId="7C3EC5B6" w14:textId="32AD19AB" w:rsidR="00F471E8" w:rsidRPr="00D431EA" w:rsidRDefault="00C26417" w:rsidP="006277EC">
      <w:pPr>
        <w:spacing w:line="480" w:lineRule="auto"/>
        <w:rPr>
          <w:sz w:val="24"/>
          <w:szCs w:val="24"/>
        </w:rPr>
      </w:pPr>
      <w:r w:rsidRPr="00D431EA">
        <w:rPr>
          <w:sz w:val="24"/>
          <w:szCs w:val="24"/>
        </w:rPr>
        <w:tab/>
      </w:r>
      <w:r w:rsidR="00681E1A" w:rsidRPr="00D431EA">
        <w:rPr>
          <w:sz w:val="24"/>
          <w:szCs w:val="24"/>
        </w:rPr>
        <w:t>Econo</w:t>
      </w:r>
      <w:r w:rsidR="009737E2" w:rsidRPr="00D431EA">
        <w:rPr>
          <w:sz w:val="24"/>
          <w:szCs w:val="24"/>
        </w:rPr>
        <w:t>mic models</w:t>
      </w:r>
      <w:r w:rsidR="00681E1A" w:rsidRPr="00D431EA">
        <w:rPr>
          <w:sz w:val="24"/>
          <w:szCs w:val="24"/>
        </w:rPr>
        <w:t xml:space="preserve"> m</w:t>
      </w:r>
      <w:r w:rsidR="009737E2" w:rsidRPr="00D431EA">
        <w:rPr>
          <w:sz w:val="24"/>
          <w:szCs w:val="24"/>
        </w:rPr>
        <w:t>ay not</w:t>
      </w:r>
      <w:r w:rsidR="00681E1A" w:rsidRPr="00D431EA">
        <w:rPr>
          <w:sz w:val="24"/>
          <w:szCs w:val="24"/>
        </w:rPr>
        <w:t xml:space="preserve"> </w:t>
      </w:r>
      <w:r w:rsidR="009737E2" w:rsidRPr="00D431EA">
        <w:rPr>
          <w:sz w:val="24"/>
          <w:szCs w:val="24"/>
        </w:rPr>
        <w:t xml:space="preserve">be able to investigate the origin of inequality with all the necessary nuance and thorough considerations of the human aspect of society, so a natural place to look next is speculative prehistory based on contemporary ethnography. One such example is Marshall Sahlins’ 1966 essay </w:t>
      </w:r>
      <w:r w:rsidR="009737E2" w:rsidRPr="00D431EA">
        <w:rPr>
          <w:i/>
          <w:iCs/>
          <w:sz w:val="24"/>
          <w:szCs w:val="24"/>
        </w:rPr>
        <w:t>The Original Affluent Society</w:t>
      </w:r>
      <w:r w:rsidR="0088764F" w:rsidRPr="00D431EA">
        <w:rPr>
          <w:sz w:val="24"/>
          <w:szCs w:val="24"/>
        </w:rPr>
        <w:t xml:space="preserve"> (republished many times since) where he posits that hunter-gatherer societies worked less than we do today and likely considered themselves to be living in relative luxury. The basis for this bold claim is the (at the time) recent ethnographic work being published about the !Kung, a San people who live in the semi-arid environment of southern Africa on the edge of the Kalahari Desert. The !Kung, in Sahlins’ description, demonstrate just one of many kinds of cultural affluence. They rely on a hunter-gatherer subsistence strategy in environments not unlike those our distant human ancestors once lived in, and thus their relative surplus of leisure time may mirror </w:t>
      </w:r>
      <w:r w:rsidR="002A36CA" w:rsidRPr="00D431EA">
        <w:rPr>
          <w:sz w:val="24"/>
          <w:szCs w:val="24"/>
        </w:rPr>
        <w:t>a lifestyle which humans have been capable of since we became anatomically modern.</w:t>
      </w:r>
      <w:sdt>
        <w:sdtPr>
          <w:rPr>
            <w:sz w:val="24"/>
            <w:szCs w:val="24"/>
          </w:rPr>
          <w:id w:val="887992972"/>
          <w:citation/>
        </w:sdtPr>
        <w:sdtContent>
          <w:r w:rsidR="002A36CA" w:rsidRPr="00D431EA">
            <w:rPr>
              <w:sz w:val="24"/>
              <w:szCs w:val="24"/>
            </w:rPr>
            <w:fldChar w:fldCharType="begin"/>
          </w:r>
          <w:r w:rsidR="002A36CA" w:rsidRPr="00D431EA">
            <w:rPr>
              <w:sz w:val="24"/>
              <w:szCs w:val="24"/>
            </w:rPr>
            <w:instrText xml:space="preserve"> CITATION Sah09 \l 1033 </w:instrText>
          </w:r>
          <w:r w:rsidR="002A36CA" w:rsidRPr="00D431EA">
            <w:rPr>
              <w:sz w:val="24"/>
              <w:szCs w:val="24"/>
            </w:rPr>
            <w:fldChar w:fldCharType="separate"/>
          </w:r>
          <w:r w:rsidR="00EA5B43" w:rsidRPr="00D431EA">
            <w:rPr>
              <w:noProof/>
              <w:sz w:val="24"/>
              <w:szCs w:val="24"/>
            </w:rPr>
            <w:t xml:space="preserve"> (Sahlins, 2009)</w:t>
          </w:r>
          <w:r w:rsidR="002A36CA" w:rsidRPr="00D431EA">
            <w:rPr>
              <w:sz w:val="24"/>
              <w:szCs w:val="24"/>
            </w:rPr>
            <w:fldChar w:fldCharType="end"/>
          </w:r>
        </w:sdtContent>
      </w:sdt>
      <w:r w:rsidR="002A36CA" w:rsidRPr="00D431EA">
        <w:rPr>
          <w:sz w:val="24"/>
          <w:szCs w:val="24"/>
        </w:rPr>
        <w:t xml:space="preserve"> He ends the </w:t>
      </w:r>
      <w:r w:rsidR="00A35E79" w:rsidRPr="00D431EA">
        <w:rPr>
          <w:sz w:val="24"/>
          <w:szCs w:val="24"/>
        </w:rPr>
        <w:t xml:space="preserve">essay with a major caveat: he is not claiming that </w:t>
      </w:r>
      <w:r w:rsidR="00A35E79" w:rsidRPr="00D431EA">
        <w:rPr>
          <w:i/>
          <w:iCs/>
          <w:sz w:val="24"/>
          <w:szCs w:val="24"/>
        </w:rPr>
        <w:t>all</w:t>
      </w:r>
      <w:r w:rsidR="00A35E79" w:rsidRPr="00D431EA">
        <w:rPr>
          <w:sz w:val="24"/>
          <w:szCs w:val="24"/>
        </w:rPr>
        <w:t xml:space="preserve"> hunter-gatherers lived </w:t>
      </w:r>
      <w:r w:rsidR="00056A9E" w:rsidRPr="00D431EA">
        <w:rPr>
          <w:sz w:val="24"/>
          <w:szCs w:val="24"/>
        </w:rPr>
        <w:t xml:space="preserve">lives of leisure with occasional forays into the woods to gather sustenance, just that it may be one form of social structure chosen by past cultures. As counter points to the !Kung, we might consider the Indigenous North American tribes still found along the coast of Northern California. While their modern social structures have had to adapt to centuries of oppression from the US government, their ancestors relied on fishing and nut gathering as key aspects of their </w:t>
      </w:r>
      <w:r w:rsidR="00056A9E" w:rsidRPr="00D431EA">
        <w:rPr>
          <w:sz w:val="24"/>
          <w:szCs w:val="24"/>
        </w:rPr>
        <w:lastRenderedPageBreak/>
        <w:t xml:space="preserve">subsistence strategy. For at least </w:t>
      </w:r>
      <w:r w:rsidR="003851AF" w:rsidRPr="00D431EA">
        <w:rPr>
          <w:sz w:val="24"/>
          <w:szCs w:val="24"/>
        </w:rPr>
        <w:t>one group, the Yurok, manual labor was an integral part of becoming a full member of the culture.</w:t>
      </w:r>
      <w:r w:rsidR="003851AF" w:rsidRPr="00D431EA">
        <w:rPr>
          <w:rStyle w:val="FootnoteReference"/>
          <w:sz w:val="24"/>
          <w:szCs w:val="24"/>
        </w:rPr>
        <w:footnoteReference w:id="2"/>
      </w:r>
      <w:r w:rsidR="003851AF" w:rsidRPr="00D431EA">
        <w:rPr>
          <w:sz w:val="24"/>
          <w:szCs w:val="24"/>
        </w:rPr>
        <w:t xml:space="preserve"> </w:t>
      </w:r>
      <w:sdt>
        <w:sdtPr>
          <w:rPr>
            <w:sz w:val="24"/>
            <w:szCs w:val="24"/>
          </w:rPr>
          <w:id w:val="-860201161"/>
          <w:citation/>
        </w:sdtPr>
        <w:sdtContent>
          <w:r w:rsidR="004D1F0A" w:rsidRPr="00D431EA">
            <w:rPr>
              <w:sz w:val="24"/>
              <w:szCs w:val="24"/>
            </w:rPr>
            <w:fldChar w:fldCharType="begin"/>
          </w:r>
          <w:r w:rsidR="004D1F0A" w:rsidRPr="00D431EA">
            <w:rPr>
              <w:sz w:val="24"/>
              <w:szCs w:val="24"/>
            </w:rPr>
            <w:instrText xml:space="preserve"> CITATION Kro76 \l 1033 </w:instrText>
          </w:r>
          <w:r w:rsidR="004D1F0A" w:rsidRPr="00D431EA">
            <w:rPr>
              <w:sz w:val="24"/>
              <w:szCs w:val="24"/>
            </w:rPr>
            <w:fldChar w:fldCharType="separate"/>
          </w:r>
          <w:r w:rsidR="00EA5B43" w:rsidRPr="00D431EA">
            <w:rPr>
              <w:noProof/>
              <w:sz w:val="24"/>
              <w:szCs w:val="24"/>
            </w:rPr>
            <w:t>(Kroeber, 1976)</w:t>
          </w:r>
          <w:r w:rsidR="004D1F0A" w:rsidRPr="00D431EA">
            <w:rPr>
              <w:sz w:val="24"/>
              <w:szCs w:val="24"/>
            </w:rPr>
            <w:fldChar w:fldCharType="end"/>
          </w:r>
        </w:sdtContent>
      </w:sdt>
      <w:r w:rsidR="004D1F0A" w:rsidRPr="00D431EA">
        <w:rPr>
          <w:sz w:val="24"/>
          <w:szCs w:val="24"/>
        </w:rPr>
        <w:t xml:space="preserve"> </w:t>
      </w:r>
      <w:r w:rsidR="0084218B" w:rsidRPr="00D431EA">
        <w:rPr>
          <w:sz w:val="24"/>
          <w:szCs w:val="24"/>
        </w:rPr>
        <w:t>The Yurok then differ from the !Kung in their conception of what it means to be affluent, as well as nearly every other aspect of their respective societies, despite both relying on</w:t>
      </w:r>
      <w:r w:rsidR="004D1F0A" w:rsidRPr="00D431EA">
        <w:rPr>
          <w:sz w:val="24"/>
          <w:szCs w:val="24"/>
        </w:rPr>
        <w:t xml:space="preserve"> so-called</w:t>
      </w:r>
      <w:r w:rsidR="0084218B" w:rsidRPr="00D431EA">
        <w:rPr>
          <w:sz w:val="24"/>
          <w:szCs w:val="24"/>
        </w:rPr>
        <w:t xml:space="preserve"> “pre-agricultural” subsistence strategies. However, like Rousseau before him, Sahlins’ essay </w:t>
      </w:r>
      <w:r w:rsidR="004D1F0A" w:rsidRPr="00D431EA">
        <w:rPr>
          <w:sz w:val="24"/>
          <w:szCs w:val="24"/>
        </w:rPr>
        <w:t xml:space="preserve">has not always been interpreted as intended. The general assumption is that </w:t>
      </w:r>
      <w:r w:rsidR="004D1F0A" w:rsidRPr="00D431EA">
        <w:rPr>
          <w:i/>
          <w:iCs/>
          <w:sz w:val="24"/>
          <w:szCs w:val="24"/>
        </w:rPr>
        <w:t>Original Affluent Society</w:t>
      </w:r>
      <w:r w:rsidR="004D1F0A" w:rsidRPr="00D431EA">
        <w:rPr>
          <w:sz w:val="24"/>
          <w:szCs w:val="24"/>
        </w:rPr>
        <w:t xml:space="preserve"> is evidence to support the existence of primitive communism, which we should note is not terribly different from the myth of the “noble savage”.</w:t>
      </w:r>
    </w:p>
    <w:p w14:paraId="4EE66455" w14:textId="77777777" w:rsidR="00725F6E" w:rsidRPr="00D431EA" w:rsidRDefault="004D1F0A" w:rsidP="006277EC">
      <w:pPr>
        <w:spacing w:line="480" w:lineRule="auto"/>
        <w:rPr>
          <w:sz w:val="24"/>
          <w:szCs w:val="24"/>
        </w:rPr>
      </w:pPr>
      <w:r w:rsidRPr="00D431EA">
        <w:rPr>
          <w:sz w:val="24"/>
          <w:szCs w:val="24"/>
        </w:rPr>
        <w:tab/>
      </w:r>
      <w:r w:rsidR="002308D7" w:rsidRPr="00D431EA">
        <w:rPr>
          <w:sz w:val="24"/>
          <w:szCs w:val="24"/>
        </w:rPr>
        <w:t>Friedrich Engels also points to</w:t>
      </w:r>
      <w:r w:rsidRPr="00D431EA">
        <w:rPr>
          <w:sz w:val="24"/>
          <w:szCs w:val="24"/>
        </w:rPr>
        <w:t xml:space="preserve"> agriculture </w:t>
      </w:r>
      <w:r w:rsidR="002308D7" w:rsidRPr="00D431EA">
        <w:rPr>
          <w:sz w:val="24"/>
          <w:szCs w:val="24"/>
        </w:rPr>
        <w:t>as</w:t>
      </w:r>
      <w:r w:rsidRPr="00D431EA">
        <w:rPr>
          <w:sz w:val="24"/>
          <w:szCs w:val="24"/>
        </w:rPr>
        <w:t xml:space="preserve"> the culprit. </w:t>
      </w:r>
      <w:r w:rsidR="002308D7" w:rsidRPr="00D431EA">
        <w:rPr>
          <w:sz w:val="24"/>
          <w:szCs w:val="24"/>
        </w:rPr>
        <w:t>His</w:t>
      </w:r>
      <w:r w:rsidR="00EA5B43" w:rsidRPr="00D431EA">
        <w:rPr>
          <w:sz w:val="24"/>
          <w:szCs w:val="24"/>
        </w:rPr>
        <w:t xml:space="preserve"> </w:t>
      </w:r>
      <w:r w:rsidR="00EA5B43" w:rsidRPr="00D431EA">
        <w:rPr>
          <w:i/>
          <w:iCs/>
          <w:sz w:val="24"/>
          <w:szCs w:val="24"/>
        </w:rPr>
        <w:t>Origin of the Family, Private Property, and the State</w:t>
      </w:r>
      <w:r w:rsidR="00EA5B43" w:rsidRPr="00D431EA">
        <w:rPr>
          <w:sz w:val="24"/>
          <w:szCs w:val="24"/>
        </w:rPr>
        <w:t xml:space="preserve"> argues, based on (at the time) groundbreaking anthropological work by Lewis Morgan, that prior to private property human societies were based on matrilineal power</w:t>
      </w:r>
      <w:r w:rsidR="002308D7" w:rsidRPr="00D431EA">
        <w:rPr>
          <w:sz w:val="24"/>
          <w:szCs w:val="24"/>
        </w:rPr>
        <w:t>.</w:t>
      </w:r>
      <w:r w:rsidR="00453E93" w:rsidRPr="00D431EA">
        <w:rPr>
          <w:sz w:val="24"/>
          <w:szCs w:val="24"/>
        </w:rPr>
        <w:t xml:space="preserve"> </w:t>
      </w:r>
      <w:r w:rsidR="002308D7" w:rsidRPr="00D431EA">
        <w:rPr>
          <w:sz w:val="24"/>
          <w:szCs w:val="24"/>
        </w:rPr>
        <w:t>F</w:t>
      </w:r>
      <w:r w:rsidR="00453E93" w:rsidRPr="00D431EA">
        <w:rPr>
          <w:sz w:val="24"/>
          <w:szCs w:val="24"/>
        </w:rPr>
        <w:t xml:space="preserve">amily as we think of it today </w:t>
      </w:r>
      <w:r w:rsidR="002308D7" w:rsidRPr="00D431EA">
        <w:rPr>
          <w:sz w:val="24"/>
          <w:szCs w:val="24"/>
        </w:rPr>
        <w:t>did not exist, and all cultures practiced some form of “primitive communism”.</w:t>
      </w:r>
      <w:sdt>
        <w:sdtPr>
          <w:rPr>
            <w:sz w:val="24"/>
            <w:szCs w:val="24"/>
          </w:rPr>
          <w:id w:val="1674299042"/>
          <w:citation/>
        </w:sdtPr>
        <w:sdtContent>
          <w:r w:rsidR="002308D7" w:rsidRPr="00D431EA">
            <w:rPr>
              <w:sz w:val="24"/>
              <w:szCs w:val="24"/>
            </w:rPr>
            <w:fldChar w:fldCharType="begin"/>
          </w:r>
          <w:r w:rsidR="002308D7" w:rsidRPr="00D431EA">
            <w:rPr>
              <w:sz w:val="24"/>
              <w:szCs w:val="24"/>
            </w:rPr>
            <w:instrText xml:space="preserve"> CITATION Eng02 \l 1033 </w:instrText>
          </w:r>
          <w:r w:rsidR="002308D7" w:rsidRPr="00D431EA">
            <w:rPr>
              <w:sz w:val="24"/>
              <w:szCs w:val="24"/>
            </w:rPr>
            <w:fldChar w:fldCharType="separate"/>
          </w:r>
          <w:r w:rsidR="002308D7" w:rsidRPr="00D431EA">
            <w:rPr>
              <w:noProof/>
              <w:sz w:val="24"/>
              <w:szCs w:val="24"/>
            </w:rPr>
            <w:t xml:space="preserve"> (Engels, 1902)</w:t>
          </w:r>
          <w:r w:rsidR="002308D7" w:rsidRPr="00D431EA">
            <w:rPr>
              <w:sz w:val="24"/>
              <w:szCs w:val="24"/>
            </w:rPr>
            <w:fldChar w:fldCharType="end"/>
          </w:r>
        </w:sdtContent>
      </w:sdt>
      <w:r w:rsidR="002308D7" w:rsidRPr="00D431EA">
        <w:rPr>
          <w:sz w:val="24"/>
          <w:szCs w:val="24"/>
        </w:rPr>
        <w:t xml:space="preserve"> Engels also advances the concept of stages to cultural evolution that coincide with changes in family structure. This is not so different than Rousseau’s though experiment, but now supported by the foremost anthropological work available. Inequality, if it existed at all in this primitive communism, was purely that of women holding power over men through means of a sex-based solidarity. “’The world-historic defeat of the female sex,” started with the invention of agriculture and has only been completed with the advent of industrial society.</w:t>
      </w:r>
      <w:sdt>
        <w:sdtPr>
          <w:rPr>
            <w:sz w:val="24"/>
            <w:szCs w:val="24"/>
          </w:rPr>
          <w:id w:val="-322351714"/>
          <w:citation/>
        </w:sdtPr>
        <w:sdtContent>
          <w:r w:rsidR="002308D7" w:rsidRPr="00D431EA">
            <w:rPr>
              <w:sz w:val="24"/>
              <w:szCs w:val="24"/>
            </w:rPr>
            <w:fldChar w:fldCharType="begin"/>
          </w:r>
          <w:r w:rsidR="002308D7" w:rsidRPr="00D431EA">
            <w:rPr>
              <w:sz w:val="24"/>
              <w:szCs w:val="24"/>
            </w:rPr>
            <w:instrText xml:space="preserve"> CITATION Eng02 \l 1033 </w:instrText>
          </w:r>
          <w:r w:rsidR="002308D7" w:rsidRPr="00D431EA">
            <w:rPr>
              <w:sz w:val="24"/>
              <w:szCs w:val="24"/>
            </w:rPr>
            <w:fldChar w:fldCharType="separate"/>
          </w:r>
          <w:r w:rsidR="002308D7" w:rsidRPr="00D431EA">
            <w:rPr>
              <w:noProof/>
              <w:sz w:val="24"/>
              <w:szCs w:val="24"/>
            </w:rPr>
            <w:t xml:space="preserve"> (Engels, 1902)</w:t>
          </w:r>
          <w:r w:rsidR="002308D7" w:rsidRPr="00D431EA">
            <w:rPr>
              <w:sz w:val="24"/>
              <w:szCs w:val="24"/>
            </w:rPr>
            <w:fldChar w:fldCharType="end"/>
          </w:r>
        </w:sdtContent>
      </w:sdt>
      <w:r w:rsidR="002308D7" w:rsidRPr="00D431EA">
        <w:rPr>
          <w:sz w:val="24"/>
          <w:szCs w:val="24"/>
        </w:rPr>
        <w:t xml:space="preserve"> </w:t>
      </w:r>
    </w:p>
    <w:p w14:paraId="59C7CF03" w14:textId="17DAF98E" w:rsidR="002308D7" w:rsidRPr="00D431EA" w:rsidRDefault="002308D7" w:rsidP="006277EC">
      <w:pPr>
        <w:spacing w:line="480" w:lineRule="auto"/>
        <w:ind w:firstLine="720"/>
        <w:rPr>
          <w:sz w:val="24"/>
          <w:szCs w:val="24"/>
        </w:rPr>
      </w:pPr>
      <w:r w:rsidRPr="00D431EA">
        <w:rPr>
          <w:sz w:val="24"/>
          <w:szCs w:val="24"/>
        </w:rPr>
        <w:lastRenderedPageBreak/>
        <w:t xml:space="preserve">This </w:t>
      </w:r>
      <w:r w:rsidR="00D348E0" w:rsidRPr="00D431EA">
        <w:rPr>
          <w:sz w:val="24"/>
          <w:szCs w:val="24"/>
        </w:rPr>
        <w:t xml:space="preserve">early </w:t>
      </w:r>
      <w:r w:rsidRPr="00D431EA">
        <w:rPr>
          <w:sz w:val="24"/>
          <w:szCs w:val="24"/>
        </w:rPr>
        <w:t>Marxist</w:t>
      </w:r>
      <w:r w:rsidR="00D348E0" w:rsidRPr="00D431EA">
        <w:rPr>
          <w:rStyle w:val="FootnoteReference"/>
          <w:sz w:val="24"/>
          <w:szCs w:val="24"/>
        </w:rPr>
        <w:footnoteReference w:id="3"/>
      </w:r>
      <w:r w:rsidR="002B6518" w:rsidRPr="00D431EA">
        <w:rPr>
          <w:sz w:val="24"/>
          <w:szCs w:val="24"/>
        </w:rPr>
        <w:t xml:space="preserve"> analysis of social evolution has been challenged in light of better evidence and improved feminist theory. The pre-eminent example is Silvia Federici’s </w:t>
      </w:r>
      <w:r w:rsidR="002B6518" w:rsidRPr="00D431EA">
        <w:rPr>
          <w:i/>
          <w:iCs/>
          <w:sz w:val="24"/>
          <w:szCs w:val="24"/>
        </w:rPr>
        <w:t>Caliban and the Witch: Women, the Body, and Primitive Accumulation</w:t>
      </w:r>
      <w:r w:rsidR="002B6518" w:rsidRPr="00D431EA">
        <w:rPr>
          <w:sz w:val="24"/>
          <w:szCs w:val="24"/>
        </w:rPr>
        <w:t>. The overall theme of the book is that European witch hunts were a terror campaign used to force women into new gender roles more suitable to the developing capitalist economic system. European agricultural life in the Medieval and Early Modern periods, by her account, was represented by a much more egalitarian distribution of labor if not necessarily social equality. Young, unmarried women and elderly widows represented different forms of female independence, bodily autonomy, and social status, and thus needed to be stamped out if new modes of production were to be introduced.</w:t>
      </w:r>
      <w:sdt>
        <w:sdtPr>
          <w:rPr>
            <w:sz w:val="24"/>
            <w:szCs w:val="24"/>
          </w:rPr>
          <w:id w:val="1134060992"/>
          <w:citation/>
        </w:sdtPr>
        <w:sdtContent>
          <w:r w:rsidR="002B6518" w:rsidRPr="00D431EA">
            <w:rPr>
              <w:sz w:val="24"/>
              <w:szCs w:val="24"/>
            </w:rPr>
            <w:fldChar w:fldCharType="begin"/>
          </w:r>
          <w:r w:rsidR="002B6518" w:rsidRPr="00D431EA">
            <w:rPr>
              <w:sz w:val="24"/>
              <w:szCs w:val="24"/>
            </w:rPr>
            <w:instrText xml:space="preserve"> CITATION Sil04 \l 1033 </w:instrText>
          </w:r>
          <w:r w:rsidR="002B6518" w:rsidRPr="00D431EA">
            <w:rPr>
              <w:sz w:val="24"/>
              <w:szCs w:val="24"/>
            </w:rPr>
            <w:fldChar w:fldCharType="separate"/>
          </w:r>
          <w:r w:rsidR="002B6518" w:rsidRPr="00D431EA">
            <w:rPr>
              <w:noProof/>
              <w:sz w:val="24"/>
              <w:szCs w:val="24"/>
            </w:rPr>
            <w:t xml:space="preserve"> (Federici, 2004)</w:t>
          </w:r>
          <w:r w:rsidR="002B6518" w:rsidRPr="00D431EA">
            <w:rPr>
              <w:sz w:val="24"/>
              <w:szCs w:val="24"/>
            </w:rPr>
            <w:fldChar w:fldCharType="end"/>
          </w:r>
        </w:sdtContent>
      </w:sdt>
      <w:r w:rsidR="002B6518" w:rsidRPr="00D431EA">
        <w:rPr>
          <w:sz w:val="24"/>
          <w:szCs w:val="24"/>
        </w:rPr>
        <w:t xml:space="preserve"> She </w:t>
      </w:r>
      <w:r w:rsidR="000F5E13" w:rsidRPr="00D431EA">
        <w:rPr>
          <w:sz w:val="24"/>
          <w:szCs w:val="24"/>
        </w:rPr>
        <w:t>disputes Engels</w:t>
      </w:r>
      <w:r w:rsidR="00B43A39" w:rsidRPr="00D431EA">
        <w:rPr>
          <w:sz w:val="24"/>
          <w:szCs w:val="24"/>
        </w:rPr>
        <w:t>’</w:t>
      </w:r>
      <w:r w:rsidR="000F5E13" w:rsidRPr="00D431EA">
        <w:rPr>
          <w:sz w:val="24"/>
          <w:szCs w:val="24"/>
        </w:rPr>
        <w:t xml:space="preserve"> description of primitive communism, and notes the original meaning of “primitive” in the “primitive accumulation”</w:t>
      </w:r>
      <w:r w:rsidR="002B6518" w:rsidRPr="00D431EA">
        <w:rPr>
          <w:sz w:val="24"/>
          <w:szCs w:val="24"/>
        </w:rPr>
        <w:t xml:space="preserve"> </w:t>
      </w:r>
      <w:r w:rsidR="000F5E13" w:rsidRPr="00D431EA">
        <w:rPr>
          <w:sz w:val="24"/>
          <w:szCs w:val="24"/>
        </w:rPr>
        <w:t xml:space="preserve">of Marx should be translated as “primary”. For Federici, without the breaking of old gender roles there could be no capitalism and thus </w:t>
      </w:r>
      <w:r w:rsidR="000F5E13" w:rsidRPr="00D431EA">
        <w:rPr>
          <w:i/>
          <w:iCs/>
          <w:sz w:val="24"/>
          <w:szCs w:val="24"/>
        </w:rPr>
        <w:t>primary</w:t>
      </w:r>
      <w:r w:rsidR="000F5E13" w:rsidRPr="00D431EA">
        <w:rPr>
          <w:sz w:val="24"/>
          <w:szCs w:val="24"/>
        </w:rPr>
        <w:t xml:space="preserve"> accumulation starts not just the enclosure of once commonly held lands, but the metaphorical enclosure of rights once held equally by men and women. Tactics developed in the European witch hunts were then employed </w:t>
      </w:r>
      <w:r w:rsidR="00B43A39" w:rsidRPr="00D431EA">
        <w:rPr>
          <w:sz w:val="24"/>
          <w:szCs w:val="24"/>
        </w:rPr>
        <w:t xml:space="preserve">against Indigenous peoples to destroy their religions and cultures </w:t>
      </w:r>
      <w:r w:rsidR="000F5E13" w:rsidRPr="00D431EA">
        <w:rPr>
          <w:sz w:val="24"/>
          <w:szCs w:val="24"/>
        </w:rPr>
        <w:t xml:space="preserve">during the Spanish Conquest– often starting with the role of women in those societies. </w:t>
      </w:r>
      <w:sdt>
        <w:sdtPr>
          <w:rPr>
            <w:sz w:val="24"/>
            <w:szCs w:val="24"/>
          </w:rPr>
          <w:id w:val="-470741641"/>
          <w:citation/>
        </w:sdtPr>
        <w:sdtContent>
          <w:r w:rsidR="000F5E13" w:rsidRPr="00D431EA">
            <w:rPr>
              <w:sz w:val="24"/>
              <w:szCs w:val="24"/>
            </w:rPr>
            <w:fldChar w:fldCharType="begin"/>
          </w:r>
          <w:r w:rsidR="000F5E13" w:rsidRPr="00D431EA">
            <w:rPr>
              <w:sz w:val="24"/>
              <w:szCs w:val="24"/>
            </w:rPr>
            <w:instrText xml:space="preserve"> CITATION Sil04 \l 1033 </w:instrText>
          </w:r>
          <w:r w:rsidR="000F5E13" w:rsidRPr="00D431EA">
            <w:rPr>
              <w:sz w:val="24"/>
              <w:szCs w:val="24"/>
            </w:rPr>
            <w:fldChar w:fldCharType="separate"/>
          </w:r>
          <w:r w:rsidR="000F5E13" w:rsidRPr="00D431EA">
            <w:rPr>
              <w:noProof/>
              <w:sz w:val="24"/>
              <w:szCs w:val="24"/>
            </w:rPr>
            <w:t>(Federici, 2004)</w:t>
          </w:r>
          <w:r w:rsidR="000F5E13" w:rsidRPr="00D431EA">
            <w:rPr>
              <w:sz w:val="24"/>
              <w:szCs w:val="24"/>
            </w:rPr>
            <w:fldChar w:fldCharType="end"/>
          </w:r>
        </w:sdtContent>
      </w:sdt>
      <w:r w:rsidR="000F5E13" w:rsidRPr="00D431EA">
        <w:rPr>
          <w:sz w:val="24"/>
          <w:szCs w:val="24"/>
        </w:rPr>
        <w:t xml:space="preserve"> </w:t>
      </w:r>
      <w:r w:rsidR="00B43A39" w:rsidRPr="00D431EA">
        <w:rPr>
          <w:sz w:val="24"/>
          <w:szCs w:val="24"/>
        </w:rPr>
        <w:t>Family structure did not so much evolve as undergo a forced conversion, and society had reached the state it was in not by evolving through various stages but by slowly changing according to the choices of individual cultures</w:t>
      </w:r>
      <w:r w:rsidR="00725F6E" w:rsidRPr="00D431EA">
        <w:rPr>
          <w:sz w:val="24"/>
          <w:szCs w:val="24"/>
        </w:rPr>
        <w:t xml:space="preserve">. Human agency is paramount here, and the only moral degradations that occurred came </w:t>
      </w:r>
      <w:r w:rsidR="00725F6E" w:rsidRPr="00D431EA">
        <w:rPr>
          <w:sz w:val="24"/>
          <w:szCs w:val="24"/>
        </w:rPr>
        <w:lastRenderedPageBreak/>
        <w:t xml:space="preserve">through the coercive demands of the emerging economic system rather than any “natural” progression. Those stuck on the wrong side of enclosure suffered a very real drop in living standards as they could no longer rely on community nor commonly held lands as they previously had. Would this not constitute a </w:t>
      </w:r>
      <w:r w:rsidR="00725F6E" w:rsidRPr="00D431EA">
        <w:rPr>
          <w:i/>
          <w:iCs/>
          <w:sz w:val="24"/>
          <w:szCs w:val="24"/>
        </w:rPr>
        <w:t>de</w:t>
      </w:r>
      <w:r w:rsidR="00725F6E" w:rsidRPr="00D431EA">
        <w:rPr>
          <w:i/>
          <w:iCs/>
          <w:sz w:val="24"/>
          <w:szCs w:val="24"/>
        </w:rPr>
        <w:softHyphen/>
      </w:r>
      <w:r w:rsidR="00725F6E" w:rsidRPr="00D431EA">
        <w:rPr>
          <w:sz w:val="24"/>
          <w:szCs w:val="24"/>
        </w:rPr>
        <w:t>-evolution in terms of the supposed stages of social progress?</w:t>
      </w:r>
    </w:p>
    <w:p w14:paraId="46A48664" w14:textId="72149917" w:rsidR="00725F6E" w:rsidRPr="00D431EA" w:rsidRDefault="00725F6E" w:rsidP="006277EC">
      <w:pPr>
        <w:spacing w:line="480" w:lineRule="auto"/>
        <w:ind w:firstLine="720"/>
        <w:rPr>
          <w:sz w:val="24"/>
          <w:szCs w:val="24"/>
        </w:rPr>
      </w:pPr>
      <w:r w:rsidRPr="00D431EA">
        <w:rPr>
          <w:sz w:val="24"/>
          <w:szCs w:val="24"/>
        </w:rPr>
        <w:t xml:space="preserve">This brings us to the question of what we really mean when we say one society was egalitarian while another had social inequality. </w:t>
      </w:r>
      <w:r w:rsidR="009A1350" w:rsidRPr="00D431EA">
        <w:rPr>
          <w:sz w:val="24"/>
          <w:szCs w:val="24"/>
        </w:rPr>
        <w:t xml:space="preserve">Equality can be understood as the condition of every member of a society being interchangeable </w:t>
      </w:r>
      <w:r w:rsidR="00791C11" w:rsidRPr="00D431EA">
        <w:rPr>
          <w:sz w:val="24"/>
          <w:szCs w:val="24"/>
        </w:rPr>
        <w:t xml:space="preserve">in every way that matters </w:t>
      </w:r>
      <w:r w:rsidR="009A1350" w:rsidRPr="00D431EA">
        <w:rPr>
          <w:sz w:val="24"/>
          <w:szCs w:val="24"/>
        </w:rPr>
        <w:t>beyond their own personality traits.</w:t>
      </w:r>
      <w:sdt>
        <w:sdtPr>
          <w:rPr>
            <w:sz w:val="24"/>
            <w:szCs w:val="24"/>
          </w:rPr>
          <w:id w:val="1012808736"/>
          <w:citation/>
        </w:sdtPr>
        <w:sdtContent>
          <w:r w:rsidR="00791C11" w:rsidRPr="00D431EA">
            <w:rPr>
              <w:sz w:val="24"/>
              <w:szCs w:val="24"/>
            </w:rPr>
            <w:fldChar w:fldCharType="begin"/>
          </w:r>
          <w:r w:rsidR="00791C11" w:rsidRPr="00D431EA">
            <w:rPr>
              <w:sz w:val="24"/>
              <w:szCs w:val="24"/>
            </w:rPr>
            <w:instrText xml:space="preserve"> CITATION Gra21 \l 1033 </w:instrText>
          </w:r>
          <w:r w:rsidR="00791C11" w:rsidRPr="00D431EA">
            <w:rPr>
              <w:sz w:val="24"/>
              <w:szCs w:val="24"/>
            </w:rPr>
            <w:fldChar w:fldCharType="separate"/>
          </w:r>
          <w:r w:rsidR="00791C11" w:rsidRPr="00D431EA">
            <w:rPr>
              <w:noProof/>
              <w:sz w:val="24"/>
              <w:szCs w:val="24"/>
            </w:rPr>
            <w:t xml:space="preserve"> (Graeber &amp; Wengrow, 2021)</w:t>
          </w:r>
          <w:r w:rsidR="00791C11" w:rsidRPr="00D431EA">
            <w:rPr>
              <w:sz w:val="24"/>
              <w:szCs w:val="24"/>
            </w:rPr>
            <w:fldChar w:fldCharType="end"/>
          </w:r>
        </w:sdtContent>
      </w:sdt>
      <w:r w:rsidR="009A1350" w:rsidRPr="00D431EA">
        <w:rPr>
          <w:sz w:val="24"/>
          <w:szCs w:val="24"/>
        </w:rPr>
        <w:t xml:space="preserve"> It is not a realistic metric by which to compare societies unless one is attempting to document every </w:t>
      </w:r>
      <w:r w:rsidR="009A1350" w:rsidRPr="00D431EA">
        <w:rPr>
          <w:i/>
          <w:iCs/>
          <w:sz w:val="24"/>
          <w:szCs w:val="24"/>
        </w:rPr>
        <w:t>we</w:t>
      </w:r>
      <w:r w:rsidR="009A1350" w:rsidRPr="00D431EA">
        <w:rPr>
          <w:sz w:val="24"/>
          <w:szCs w:val="24"/>
        </w:rPr>
        <w:t xml:space="preserve"> are not like </w:t>
      </w:r>
      <w:r w:rsidR="009A1350" w:rsidRPr="00D431EA">
        <w:rPr>
          <w:i/>
          <w:iCs/>
          <w:sz w:val="24"/>
          <w:szCs w:val="24"/>
        </w:rPr>
        <w:t>them</w:t>
      </w:r>
      <w:r w:rsidR="009A1350" w:rsidRPr="00D431EA">
        <w:rPr>
          <w:sz w:val="24"/>
          <w:szCs w:val="24"/>
        </w:rPr>
        <w:t xml:space="preserve">. Egalitarianism, meanwhile, is more ideals based and therefore lends itself to useful analysis under the framework of cultural relativism. A culture can be described as egalitarian so long as it meets two conditions: </w:t>
      </w:r>
    </w:p>
    <w:p w14:paraId="72406932" w14:textId="2A9DCDE1" w:rsidR="009A1350" w:rsidRPr="00D431EA" w:rsidRDefault="009A1350" w:rsidP="006277EC">
      <w:pPr>
        <w:pStyle w:val="ListParagraph"/>
        <w:numPr>
          <w:ilvl w:val="0"/>
          <w:numId w:val="1"/>
        </w:numPr>
        <w:spacing w:line="480" w:lineRule="auto"/>
        <w:rPr>
          <w:sz w:val="24"/>
          <w:szCs w:val="24"/>
        </w:rPr>
      </w:pPr>
      <w:r w:rsidRPr="00D431EA">
        <w:rPr>
          <w:sz w:val="24"/>
          <w:szCs w:val="24"/>
        </w:rPr>
        <w:t>Every member of the society believes there is an important metric</w:t>
      </w:r>
      <w:r w:rsidR="00ED5E0A" w:rsidRPr="00D431EA">
        <w:rPr>
          <w:sz w:val="24"/>
          <w:szCs w:val="24"/>
        </w:rPr>
        <w:t xml:space="preserve"> by which everyone </w:t>
      </w:r>
      <w:r w:rsidR="00ED5E0A" w:rsidRPr="00D431EA">
        <w:rPr>
          <w:i/>
          <w:iCs/>
          <w:sz w:val="24"/>
          <w:szCs w:val="24"/>
        </w:rPr>
        <w:t>ought</w:t>
      </w:r>
      <w:r w:rsidR="00ED5E0A" w:rsidRPr="00D431EA">
        <w:rPr>
          <w:sz w:val="24"/>
          <w:szCs w:val="24"/>
        </w:rPr>
        <w:t xml:space="preserve"> to be equal. Usually, these metrics are what one might call cultural values.</w:t>
      </w:r>
    </w:p>
    <w:p w14:paraId="02EFF2C1" w14:textId="080B2AA6" w:rsidR="00ED5E0A" w:rsidRPr="00D431EA" w:rsidRDefault="00ED5E0A" w:rsidP="006277EC">
      <w:pPr>
        <w:pStyle w:val="ListParagraph"/>
        <w:numPr>
          <w:ilvl w:val="0"/>
          <w:numId w:val="1"/>
        </w:numPr>
        <w:spacing w:line="480" w:lineRule="auto"/>
        <w:rPr>
          <w:sz w:val="24"/>
          <w:szCs w:val="24"/>
        </w:rPr>
      </w:pPr>
      <w:r w:rsidRPr="00D431EA">
        <w:rPr>
          <w:sz w:val="24"/>
          <w:szCs w:val="24"/>
        </w:rPr>
        <w:t xml:space="preserve">Members of this society actually </w:t>
      </w:r>
      <w:r w:rsidRPr="00D431EA">
        <w:rPr>
          <w:i/>
          <w:iCs/>
          <w:sz w:val="24"/>
          <w:szCs w:val="24"/>
        </w:rPr>
        <w:t>are</w:t>
      </w:r>
      <w:r w:rsidRPr="00D431EA">
        <w:rPr>
          <w:sz w:val="24"/>
          <w:szCs w:val="24"/>
        </w:rPr>
        <w:t xml:space="preserve"> equal in this way in nearly all instances.</w:t>
      </w:r>
    </w:p>
    <w:p w14:paraId="2653C561" w14:textId="0C8A0DA2" w:rsidR="00ED5E0A" w:rsidRPr="00D431EA" w:rsidRDefault="00ED5E0A" w:rsidP="006277EC">
      <w:pPr>
        <w:spacing w:line="480" w:lineRule="auto"/>
        <w:rPr>
          <w:sz w:val="24"/>
          <w:szCs w:val="24"/>
        </w:rPr>
      </w:pPr>
      <w:r w:rsidRPr="00D431EA">
        <w:rPr>
          <w:sz w:val="24"/>
          <w:szCs w:val="24"/>
        </w:rPr>
        <w:t xml:space="preserve">Your culture’s ideal of egality may not be the same as mine, but if neither of our cultures actually achieve this egalitarian ideal then we are categorically not egalitarian. The United States Constitution, for example, guarantees “equal protection under the law” but as the long history of gender and racial discrimination in the US demonstrates how this value is rarely </w:t>
      </w:r>
      <w:r w:rsidRPr="00D431EA">
        <w:rPr>
          <w:sz w:val="24"/>
          <w:szCs w:val="24"/>
        </w:rPr>
        <w:lastRenderedPageBreak/>
        <w:t xml:space="preserve">achieved – and this is assuming there is some hypothetical US culture that would agree with the premise. </w:t>
      </w:r>
    </w:p>
    <w:p w14:paraId="10DE8460" w14:textId="437F8A53" w:rsidR="00843A27" w:rsidRPr="00D431EA" w:rsidRDefault="00ED5E0A" w:rsidP="006277EC">
      <w:pPr>
        <w:spacing w:line="480" w:lineRule="auto"/>
        <w:rPr>
          <w:sz w:val="24"/>
          <w:szCs w:val="24"/>
        </w:rPr>
      </w:pPr>
      <w:r w:rsidRPr="00D431EA">
        <w:rPr>
          <w:sz w:val="24"/>
          <w:szCs w:val="24"/>
        </w:rPr>
        <w:tab/>
      </w:r>
      <w:r w:rsidR="00791C11" w:rsidRPr="00D431EA">
        <w:rPr>
          <w:sz w:val="24"/>
          <w:szCs w:val="24"/>
        </w:rPr>
        <w:t>It seems clear that we must identify what a culture values if we are to hope to determine their egalitarian bona fides, and for that we can look to both the ethnographic</w:t>
      </w:r>
      <w:r w:rsidRPr="00D431EA">
        <w:rPr>
          <w:sz w:val="24"/>
          <w:szCs w:val="24"/>
        </w:rPr>
        <w:t xml:space="preserve"> </w:t>
      </w:r>
      <w:r w:rsidR="00791C11" w:rsidRPr="00D431EA">
        <w:rPr>
          <w:sz w:val="24"/>
          <w:szCs w:val="24"/>
        </w:rPr>
        <w:t xml:space="preserve">and archaeological records for evidence. A good place to start is with David Graeber’s </w:t>
      </w:r>
      <w:r w:rsidR="00791C11" w:rsidRPr="00D431EA">
        <w:rPr>
          <w:i/>
          <w:iCs/>
          <w:sz w:val="24"/>
          <w:szCs w:val="24"/>
        </w:rPr>
        <w:t>Towards an Anthropological Theory of Value</w:t>
      </w:r>
      <w:r w:rsidR="00791C11" w:rsidRPr="00D431EA">
        <w:rPr>
          <w:sz w:val="24"/>
          <w:szCs w:val="24"/>
        </w:rPr>
        <w:t xml:space="preserve">. I will not recount all of Graeber’s analysis of prior anthropological value theories, but it is useful to </w:t>
      </w:r>
      <w:r w:rsidR="003D3889" w:rsidRPr="00D431EA">
        <w:rPr>
          <w:sz w:val="24"/>
          <w:szCs w:val="24"/>
        </w:rPr>
        <w:t xml:space="preserve">describe his </w:t>
      </w:r>
      <w:r w:rsidR="001462BE" w:rsidRPr="00D431EA">
        <w:rPr>
          <w:sz w:val="24"/>
          <w:szCs w:val="24"/>
        </w:rPr>
        <w:t>general conclusion</w:t>
      </w:r>
      <w:r w:rsidR="003D3889" w:rsidRPr="00D431EA">
        <w:rPr>
          <w:sz w:val="24"/>
          <w:szCs w:val="24"/>
        </w:rPr>
        <w:t xml:space="preserve">: Value is derived from the action involved in creating an exchange rather than the </w:t>
      </w:r>
      <w:r w:rsidR="001462BE" w:rsidRPr="00D431EA">
        <w:rPr>
          <w:sz w:val="24"/>
          <w:szCs w:val="24"/>
        </w:rPr>
        <w:t xml:space="preserve">object itself. This accounts for both value in the economic sense, and value in the cultural sense. A familiar example can be found in the </w:t>
      </w:r>
      <w:r w:rsidR="001462BE" w:rsidRPr="00D431EA">
        <w:rPr>
          <w:i/>
          <w:iCs/>
          <w:sz w:val="24"/>
          <w:szCs w:val="24"/>
        </w:rPr>
        <w:t>kula</w:t>
      </w:r>
      <w:r w:rsidR="001462BE" w:rsidRPr="00D431EA">
        <w:rPr>
          <w:sz w:val="24"/>
          <w:szCs w:val="24"/>
        </w:rPr>
        <w:t xml:space="preserve"> </w:t>
      </w:r>
      <w:r w:rsidR="00194861" w:rsidRPr="00D431EA">
        <w:rPr>
          <w:sz w:val="24"/>
          <w:szCs w:val="24"/>
        </w:rPr>
        <w:t>ring</w:t>
      </w:r>
      <w:r w:rsidR="001462BE" w:rsidRPr="00D431EA">
        <w:rPr>
          <w:sz w:val="24"/>
          <w:szCs w:val="24"/>
        </w:rPr>
        <w:t xml:space="preserve"> of the Tr</w:t>
      </w:r>
      <w:r w:rsidR="00194861" w:rsidRPr="00D431EA">
        <w:rPr>
          <w:sz w:val="24"/>
          <w:szCs w:val="24"/>
        </w:rPr>
        <w:t>o</w:t>
      </w:r>
      <w:r w:rsidR="001462BE" w:rsidRPr="00D431EA">
        <w:rPr>
          <w:sz w:val="24"/>
          <w:szCs w:val="24"/>
        </w:rPr>
        <w:t xml:space="preserve">briand </w:t>
      </w:r>
      <w:r w:rsidR="00194861" w:rsidRPr="00D431EA">
        <w:rPr>
          <w:sz w:val="24"/>
          <w:szCs w:val="24"/>
        </w:rPr>
        <w:t xml:space="preserve">Islands </w:t>
      </w:r>
      <w:r w:rsidR="001462BE" w:rsidRPr="00D431EA">
        <w:rPr>
          <w:sz w:val="24"/>
          <w:szCs w:val="24"/>
        </w:rPr>
        <w:t xml:space="preserve">described by Mauss and Malinowski. </w:t>
      </w:r>
      <w:r w:rsidR="001462BE" w:rsidRPr="00D431EA">
        <w:rPr>
          <w:i/>
          <w:iCs/>
          <w:sz w:val="24"/>
          <w:szCs w:val="24"/>
        </w:rPr>
        <w:t>Kula</w:t>
      </w:r>
      <w:r w:rsidR="001462BE" w:rsidRPr="00D431EA">
        <w:rPr>
          <w:sz w:val="24"/>
          <w:szCs w:val="24"/>
        </w:rPr>
        <w:t xml:space="preserve"> requires travel over great distances to exchange objects of nearly no economic value whose value is derived from the great deeds required to facilitate the exchange as well as the </w:t>
      </w:r>
      <w:r w:rsidR="00194861" w:rsidRPr="00D431EA">
        <w:rPr>
          <w:sz w:val="24"/>
          <w:szCs w:val="24"/>
        </w:rPr>
        <w:t xml:space="preserve">specific histories of each </w:t>
      </w:r>
      <w:r w:rsidR="00194861" w:rsidRPr="00D431EA">
        <w:rPr>
          <w:i/>
          <w:iCs/>
          <w:sz w:val="24"/>
          <w:szCs w:val="24"/>
        </w:rPr>
        <w:t>kula</w:t>
      </w:r>
      <w:r w:rsidR="00194861" w:rsidRPr="00D431EA">
        <w:rPr>
          <w:sz w:val="24"/>
          <w:szCs w:val="24"/>
        </w:rPr>
        <w:t xml:space="preserve"> object.</w:t>
      </w:r>
      <w:sdt>
        <w:sdtPr>
          <w:rPr>
            <w:sz w:val="24"/>
            <w:szCs w:val="24"/>
          </w:rPr>
          <w:id w:val="1404722621"/>
          <w:citation/>
        </w:sdtPr>
        <w:sdtContent>
          <w:r w:rsidR="00194861" w:rsidRPr="00D431EA">
            <w:rPr>
              <w:sz w:val="24"/>
              <w:szCs w:val="24"/>
            </w:rPr>
            <w:fldChar w:fldCharType="begin"/>
          </w:r>
          <w:r w:rsidR="00194861" w:rsidRPr="00D431EA">
            <w:rPr>
              <w:sz w:val="24"/>
              <w:szCs w:val="24"/>
            </w:rPr>
            <w:instrText xml:space="preserve"> CITATION Mal50 \l 1033 </w:instrText>
          </w:r>
          <w:r w:rsidR="00194861" w:rsidRPr="00D431EA">
            <w:rPr>
              <w:sz w:val="24"/>
              <w:szCs w:val="24"/>
            </w:rPr>
            <w:fldChar w:fldCharType="separate"/>
          </w:r>
          <w:r w:rsidR="00194861" w:rsidRPr="00D431EA">
            <w:rPr>
              <w:noProof/>
              <w:sz w:val="24"/>
              <w:szCs w:val="24"/>
            </w:rPr>
            <w:t xml:space="preserve"> (Malinowski, 1950)</w:t>
          </w:r>
          <w:r w:rsidR="00194861" w:rsidRPr="00D431EA">
            <w:rPr>
              <w:sz w:val="24"/>
              <w:szCs w:val="24"/>
            </w:rPr>
            <w:fldChar w:fldCharType="end"/>
          </w:r>
        </w:sdtContent>
      </w:sdt>
      <w:r w:rsidR="00194861" w:rsidRPr="00D431EA">
        <w:rPr>
          <w:sz w:val="24"/>
          <w:szCs w:val="24"/>
        </w:rPr>
        <w:t xml:space="preserve"> The exchange of </w:t>
      </w:r>
      <w:r w:rsidR="00194861" w:rsidRPr="00D431EA">
        <w:rPr>
          <w:i/>
          <w:iCs/>
          <w:sz w:val="24"/>
          <w:szCs w:val="24"/>
        </w:rPr>
        <w:t>kula</w:t>
      </w:r>
      <w:r w:rsidR="00194861" w:rsidRPr="00D431EA">
        <w:rPr>
          <w:sz w:val="24"/>
          <w:szCs w:val="24"/>
        </w:rPr>
        <w:t xml:space="preserve"> is separate from the regular economic trade which accompanies the expeditions, and associating the two too closely leads to accusations of</w:t>
      </w:r>
      <w:r w:rsidR="007103D9" w:rsidRPr="00D431EA">
        <w:rPr>
          <w:sz w:val="24"/>
          <w:szCs w:val="24"/>
        </w:rPr>
        <w:t>,</w:t>
      </w:r>
      <w:r w:rsidR="00194861" w:rsidRPr="00D431EA">
        <w:rPr>
          <w:sz w:val="24"/>
          <w:szCs w:val="24"/>
        </w:rPr>
        <w:t xml:space="preserve"> “treating [his] </w:t>
      </w:r>
      <w:r w:rsidR="00194861" w:rsidRPr="00D431EA">
        <w:rPr>
          <w:i/>
          <w:iCs/>
          <w:sz w:val="24"/>
          <w:szCs w:val="24"/>
        </w:rPr>
        <w:t>kula</w:t>
      </w:r>
      <w:r w:rsidR="00194861" w:rsidRPr="00D431EA">
        <w:rPr>
          <w:sz w:val="24"/>
          <w:szCs w:val="24"/>
        </w:rPr>
        <w:t xml:space="preserve"> like [trade goods]</w:t>
      </w:r>
      <w:r w:rsidR="007103D9" w:rsidRPr="00D431EA">
        <w:rPr>
          <w:sz w:val="24"/>
          <w:szCs w:val="24"/>
        </w:rPr>
        <w:t>.</w:t>
      </w:r>
      <w:r w:rsidR="00194861" w:rsidRPr="00D431EA">
        <w:rPr>
          <w:sz w:val="24"/>
          <w:szCs w:val="24"/>
        </w:rPr>
        <w:t>”</w:t>
      </w:r>
      <w:r w:rsidR="007103D9" w:rsidRPr="00D431EA">
        <w:rPr>
          <w:sz w:val="24"/>
          <w:szCs w:val="24"/>
        </w:rPr>
        <w:t xml:space="preserve"> </w:t>
      </w:r>
      <w:sdt>
        <w:sdtPr>
          <w:rPr>
            <w:sz w:val="24"/>
            <w:szCs w:val="24"/>
          </w:rPr>
          <w:id w:val="1217241386"/>
          <w:citation/>
        </w:sdtPr>
        <w:sdtContent>
          <w:r w:rsidR="007103D9" w:rsidRPr="00D431EA">
            <w:rPr>
              <w:sz w:val="24"/>
              <w:szCs w:val="24"/>
            </w:rPr>
            <w:fldChar w:fldCharType="begin"/>
          </w:r>
          <w:r w:rsidR="007103D9" w:rsidRPr="00D431EA">
            <w:rPr>
              <w:sz w:val="24"/>
              <w:szCs w:val="24"/>
            </w:rPr>
            <w:instrText xml:space="preserve"> CITATION Mal50 \l 1033 </w:instrText>
          </w:r>
          <w:r w:rsidR="007103D9" w:rsidRPr="00D431EA">
            <w:rPr>
              <w:sz w:val="24"/>
              <w:szCs w:val="24"/>
            </w:rPr>
            <w:fldChar w:fldCharType="separate"/>
          </w:r>
          <w:r w:rsidR="007103D9" w:rsidRPr="00D431EA">
            <w:rPr>
              <w:noProof/>
              <w:sz w:val="24"/>
              <w:szCs w:val="24"/>
            </w:rPr>
            <w:t>(Malinowski, 1950)</w:t>
          </w:r>
          <w:r w:rsidR="007103D9" w:rsidRPr="00D431EA">
            <w:rPr>
              <w:sz w:val="24"/>
              <w:szCs w:val="24"/>
            </w:rPr>
            <w:fldChar w:fldCharType="end"/>
          </w:r>
        </w:sdtContent>
      </w:sdt>
      <w:r w:rsidR="00194861" w:rsidRPr="00D431EA">
        <w:rPr>
          <w:sz w:val="24"/>
          <w:szCs w:val="24"/>
        </w:rPr>
        <w:t xml:space="preserve"> Mauss asserts that some of the value involved in the exchange comes from the creation of an obligation to reciprocate appropriately, and thus comparison is made between acts as well as the quality of the </w:t>
      </w:r>
      <w:r w:rsidR="00194861" w:rsidRPr="00D431EA">
        <w:rPr>
          <w:i/>
          <w:iCs/>
          <w:sz w:val="24"/>
          <w:szCs w:val="24"/>
        </w:rPr>
        <w:t>kula</w:t>
      </w:r>
      <w:r w:rsidR="00194861" w:rsidRPr="00D431EA">
        <w:rPr>
          <w:sz w:val="24"/>
          <w:szCs w:val="24"/>
        </w:rPr>
        <w:t xml:space="preserve"> itself. </w:t>
      </w:r>
      <w:sdt>
        <w:sdtPr>
          <w:rPr>
            <w:sz w:val="24"/>
            <w:szCs w:val="24"/>
          </w:rPr>
          <w:id w:val="-2028320444"/>
          <w:citation/>
        </w:sdtPr>
        <w:sdtContent>
          <w:r w:rsidR="00194861" w:rsidRPr="00D431EA">
            <w:rPr>
              <w:sz w:val="24"/>
              <w:szCs w:val="24"/>
            </w:rPr>
            <w:fldChar w:fldCharType="begin"/>
          </w:r>
          <w:r w:rsidR="00194861" w:rsidRPr="00D431EA">
            <w:rPr>
              <w:sz w:val="24"/>
              <w:szCs w:val="24"/>
            </w:rPr>
            <w:instrText xml:space="preserve"> CITATION Mau90 \l 1033 </w:instrText>
          </w:r>
          <w:r w:rsidR="00194861" w:rsidRPr="00D431EA">
            <w:rPr>
              <w:sz w:val="24"/>
              <w:szCs w:val="24"/>
            </w:rPr>
            <w:fldChar w:fldCharType="separate"/>
          </w:r>
          <w:r w:rsidR="00194861" w:rsidRPr="00D431EA">
            <w:rPr>
              <w:noProof/>
              <w:sz w:val="24"/>
              <w:szCs w:val="24"/>
            </w:rPr>
            <w:t>(Mauss &amp; Halls, 1990)</w:t>
          </w:r>
          <w:r w:rsidR="00194861" w:rsidRPr="00D431EA">
            <w:rPr>
              <w:sz w:val="24"/>
              <w:szCs w:val="24"/>
            </w:rPr>
            <w:fldChar w:fldCharType="end"/>
          </w:r>
        </w:sdtContent>
      </w:sdt>
      <w:r w:rsidR="00194861" w:rsidRPr="00D431EA">
        <w:rPr>
          <w:sz w:val="24"/>
          <w:szCs w:val="24"/>
        </w:rPr>
        <w:t xml:space="preserve"> WE should point out that while </w:t>
      </w:r>
      <w:r w:rsidR="00194861" w:rsidRPr="00D431EA">
        <w:rPr>
          <w:i/>
          <w:iCs/>
          <w:sz w:val="24"/>
          <w:szCs w:val="24"/>
        </w:rPr>
        <w:t>kula</w:t>
      </w:r>
      <w:r w:rsidR="00194861" w:rsidRPr="00D431EA">
        <w:rPr>
          <w:sz w:val="24"/>
          <w:szCs w:val="24"/>
        </w:rPr>
        <w:t xml:space="preserve"> is thought of as separate from all other economic in the Trobriand Islands, those other activities are facilitated by </w:t>
      </w:r>
      <w:r w:rsidR="00194861" w:rsidRPr="00D431EA">
        <w:rPr>
          <w:i/>
          <w:iCs/>
          <w:sz w:val="24"/>
          <w:szCs w:val="24"/>
        </w:rPr>
        <w:t>kula</w:t>
      </w:r>
      <w:r w:rsidR="00194861" w:rsidRPr="00D431EA">
        <w:rPr>
          <w:sz w:val="24"/>
          <w:szCs w:val="24"/>
        </w:rPr>
        <w:t xml:space="preserve"> exchange partnerships. A cultural value among the Trobriand Islanders is hospitality</w:t>
      </w:r>
      <w:r w:rsidR="00E34000" w:rsidRPr="00D431EA">
        <w:rPr>
          <w:sz w:val="24"/>
          <w:szCs w:val="24"/>
        </w:rPr>
        <w:t xml:space="preserve">, and </w:t>
      </w:r>
      <w:r w:rsidR="00E34000" w:rsidRPr="00D431EA">
        <w:rPr>
          <w:i/>
          <w:iCs/>
          <w:sz w:val="24"/>
          <w:szCs w:val="24"/>
        </w:rPr>
        <w:t>kula</w:t>
      </w:r>
      <w:r w:rsidR="00E34000" w:rsidRPr="00D431EA">
        <w:rPr>
          <w:sz w:val="24"/>
          <w:szCs w:val="24"/>
        </w:rPr>
        <w:t xml:space="preserve"> is the binding agent that allows long-distance expeditions to be certain they will have a place to sleep and food to eat when they reach their destination. Thus, the </w:t>
      </w:r>
      <w:r w:rsidR="00E34000" w:rsidRPr="00D431EA">
        <w:rPr>
          <w:i/>
          <w:iCs/>
          <w:sz w:val="24"/>
          <w:szCs w:val="24"/>
        </w:rPr>
        <w:lastRenderedPageBreak/>
        <w:t>value</w:t>
      </w:r>
      <w:r w:rsidR="00E34000" w:rsidRPr="00D431EA">
        <w:rPr>
          <w:sz w:val="24"/>
          <w:szCs w:val="24"/>
        </w:rPr>
        <w:t xml:space="preserve"> of </w:t>
      </w:r>
      <w:r w:rsidR="00E34000" w:rsidRPr="00D431EA">
        <w:rPr>
          <w:i/>
          <w:iCs/>
          <w:sz w:val="24"/>
          <w:szCs w:val="24"/>
        </w:rPr>
        <w:t>kula</w:t>
      </w:r>
      <w:r w:rsidR="00E34000" w:rsidRPr="00D431EA">
        <w:rPr>
          <w:sz w:val="24"/>
          <w:szCs w:val="24"/>
        </w:rPr>
        <w:t xml:space="preserve"> is both the value of the action of its delivery, the actions required for each necklace or armband’s creation, the establishment or reinforcement of </w:t>
      </w:r>
      <w:r w:rsidR="00E34000" w:rsidRPr="00D431EA">
        <w:rPr>
          <w:i/>
          <w:iCs/>
          <w:sz w:val="24"/>
          <w:szCs w:val="24"/>
        </w:rPr>
        <w:t>kula</w:t>
      </w:r>
      <w:r w:rsidR="00E34000" w:rsidRPr="00D431EA">
        <w:rPr>
          <w:sz w:val="24"/>
          <w:szCs w:val="24"/>
        </w:rPr>
        <w:t xml:space="preserve"> and trade partnerships, and the reproduction of hospitality as a cultural value. So now we must ask: are the Trobriand Islands egalitarian? The answer under our framework is no because women are excluded from </w:t>
      </w:r>
      <w:r w:rsidR="00E34000" w:rsidRPr="00D431EA">
        <w:rPr>
          <w:i/>
          <w:iCs/>
          <w:sz w:val="24"/>
          <w:szCs w:val="24"/>
        </w:rPr>
        <w:t xml:space="preserve">kula </w:t>
      </w:r>
      <w:r w:rsidR="00E34000" w:rsidRPr="00D431EA">
        <w:rPr>
          <w:sz w:val="24"/>
          <w:szCs w:val="24"/>
        </w:rPr>
        <w:t xml:space="preserve">exchanges entirely. </w:t>
      </w:r>
      <w:sdt>
        <w:sdtPr>
          <w:rPr>
            <w:sz w:val="24"/>
            <w:szCs w:val="24"/>
          </w:rPr>
          <w:id w:val="1304268731"/>
          <w:citation/>
        </w:sdtPr>
        <w:sdtContent>
          <w:r w:rsidR="006277EC" w:rsidRPr="00D431EA">
            <w:rPr>
              <w:sz w:val="24"/>
              <w:szCs w:val="24"/>
            </w:rPr>
            <w:fldChar w:fldCharType="begin"/>
          </w:r>
          <w:r w:rsidR="006277EC" w:rsidRPr="00D431EA">
            <w:rPr>
              <w:sz w:val="24"/>
              <w:szCs w:val="24"/>
            </w:rPr>
            <w:instrText xml:space="preserve"> CITATION Dav01 \l 1033 </w:instrText>
          </w:r>
          <w:r w:rsidR="006277EC" w:rsidRPr="00D431EA">
            <w:rPr>
              <w:sz w:val="24"/>
              <w:szCs w:val="24"/>
            </w:rPr>
            <w:fldChar w:fldCharType="separate"/>
          </w:r>
          <w:r w:rsidR="006277EC" w:rsidRPr="00D431EA">
            <w:rPr>
              <w:noProof/>
              <w:sz w:val="24"/>
              <w:szCs w:val="24"/>
            </w:rPr>
            <w:t>(Graeber, 2001)</w:t>
          </w:r>
          <w:r w:rsidR="006277EC" w:rsidRPr="00D431EA">
            <w:rPr>
              <w:sz w:val="24"/>
              <w:szCs w:val="24"/>
            </w:rPr>
            <w:fldChar w:fldCharType="end"/>
          </w:r>
        </w:sdtContent>
      </w:sdt>
    </w:p>
    <w:p w14:paraId="2739B9A0" w14:textId="198E2CF6" w:rsidR="00ED5E0A" w:rsidRPr="00D431EA" w:rsidRDefault="00843A27" w:rsidP="006277EC">
      <w:pPr>
        <w:spacing w:line="480" w:lineRule="auto"/>
        <w:ind w:firstLine="720"/>
        <w:rPr>
          <w:sz w:val="24"/>
          <w:szCs w:val="24"/>
        </w:rPr>
      </w:pPr>
      <w:r w:rsidRPr="00D431EA">
        <w:rPr>
          <w:sz w:val="24"/>
          <w:szCs w:val="24"/>
        </w:rPr>
        <w:t xml:space="preserve">Malinowski remarks in </w:t>
      </w:r>
      <w:r w:rsidRPr="00D431EA">
        <w:rPr>
          <w:i/>
          <w:iCs/>
          <w:sz w:val="24"/>
          <w:szCs w:val="24"/>
        </w:rPr>
        <w:t>Argonauts of the Western Pacific</w:t>
      </w:r>
      <w:r w:rsidRPr="00D431EA">
        <w:rPr>
          <w:sz w:val="24"/>
          <w:szCs w:val="24"/>
        </w:rPr>
        <w:t xml:space="preserve"> that he did not find </w:t>
      </w:r>
      <w:r w:rsidRPr="00D431EA">
        <w:rPr>
          <w:i/>
          <w:iCs/>
          <w:sz w:val="24"/>
          <w:szCs w:val="24"/>
        </w:rPr>
        <w:t>kula</w:t>
      </w:r>
      <w:r w:rsidRPr="00D431EA">
        <w:rPr>
          <w:sz w:val="24"/>
          <w:szCs w:val="24"/>
        </w:rPr>
        <w:t xml:space="preserve"> to be particularly aesthetically pleasing but considered them similar to the British Crown jewels as their importance seemingly stems from who owned them before and what was done to acquire them. This points us back to the idea of affluence as culturally relevant. A man with an important </w:t>
      </w:r>
      <w:r w:rsidRPr="00D431EA">
        <w:rPr>
          <w:i/>
          <w:iCs/>
          <w:sz w:val="24"/>
          <w:szCs w:val="24"/>
        </w:rPr>
        <w:t>kula</w:t>
      </w:r>
      <w:r w:rsidRPr="00D431EA">
        <w:rPr>
          <w:sz w:val="24"/>
          <w:szCs w:val="24"/>
        </w:rPr>
        <w:t xml:space="preserve"> may only hold it a short time before trading it </w:t>
      </w:r>
      <w:r w:rsidR="0007274C" w:rsidRPr="00D431EA">
        <w:rPr>
          <w:sz w:val="24"/>
          <w:szCs w:val="24"/>
        </w:rPr>
        <w:t>away</w:t>
      </w:r>
      <w:r w:rsidRPr="00D431EA">
        <w:rPr>
          <w:sz w:val="24"/>
          <w:szCs w:val="24"/>
        </w:rPr>
        <w:t>, but his possession of it has raised his social status and almost certainly met his cultural definition of affluent. Now that we have developed a new conception of affluence and egalitarianism by analyzing older anthropological works, we can better understand new discoveries in the archaeological record.</w:t>
      </w:r>
    </w:p>
    <w:p w14:paraId="6754D114" w14:textId="4A8B543F" w:rsidR="00843A27" w:rsidRPr="00D431EA" w:rsidRDefault="006277EC" w:rsidP="006277EC">
      <w:pPr>
        <w:spacing w:line="480" w:lineRule="auto"/>
        <w:rPr>
          <w:sz w:val="24"/>
          <w:szCs w:val="24"/>
        </w:rPr>
      </w:pPr>
      <w:r w:rsidRPr="00D431EA">
        <w:rPr>
          <w:b/>
          <w:bCs/>
          <w:sz w:val="24"/>
          <w:szCs w:val="24"/>
        </w:rPr>
        <w:t>New Developments</w:t>
      </w:r>
    </w:p>
    <w:p w14:paraId="5E2BC189" w14:textId="336219C1" w:rsidR="006277EC" w:rsidRPr="00D431EA" w:rsidRDefault="006277EC" w:rsidP="006277EC">
      <w:pPr>
        <w:spacing w:line="480" w:lineRule="auto"/>
        <w:rPr>
          <w:sz w:val="24"/>
          <w:szCs w:val="24"/>
        </w:rPr>
      </w:pPr>
      <w:r w:rsidRPr="00D431EA">
        <w:rPr>
          <w:sz w:val="24"/>
          <w:szCs w:val="24"/>
        </w:rPr>
        <w:tab/>
      </w:r>
      <w:r w:rsidR="00025745" w:rsidRPr="00D431EA">
        <w:rPr>
          <w:sz w:val="24"/>
          <w:szCs w:val="24"/>
        </w:rPr>
        <w:t>When we talk about “civilization” what do we really mean? In the view of archaeologist David Wengrow, one of civilization’s true markers is distribution of luxury goods. Affluence and value being culturally relative, so too must be luxury. Wengrow is most known for his work in southern Egypt and Sudan, areas long thought of as categorically different in the minds of both the general public and academics</w:t>
      </w:r>
      <w:r w:rsidR="000C1A58" w:rsidRPr="00D431EA">
        <w:rPr>
          <w:sz w:val="24"/>
          <w:szCs w:val="24"/>
        </w:rPr>
        <w:t xml:space="preserve">. In his book </w:t>
      </w:r>
      <w:r w:rsidR="000C1A58" w:rsidRPr="00D431EA">
        <w:rPr>
          <w:i/>
          <w:iCs/>
          <w:sz w:val="24"/>
          <w:szCs w:val="24"/>
        </w:rPr>
        <w:t>What Makes Civilization?</w:t>
      </w:r>
      <w:r w:rsidR="000C1A58" w:rsidRPr="00D431EA">
        <w:rPr>
          <w:sz w:val="24"/>
          <w:szCs w:val="24"/>
        </w:rPr>
        <w:t xml:space="preserve"> Wengrow examines new discoveries from</w:t>
      </w:r>
      <w:r w:rsidR="00290253" w:rsidRPr="00D431EA">
        <w:rPr>
          <w:sz w:val="24"/>
          <w:szCs w:val="24"/>
        </w:rPr>
        <w:t xml:space="preserve"> </w:t>
      </w:r>
      <w:r w:rsidR="000C1A58" w:rsidRPr="00D431EA">
        <w:rPr>
          <w:sz w:val="24"/>
          <w:szCs w:val="24"/>
        </w:rPr>
        <w:t xml:space="preserve">Mesopotamia and Egypt to argue that what we take as evidence of modernity in our Western civilization is not all that different from what ancient peoples had </w:t>
      </w:r>
      <w:r w:rsidR="000C1A58" w:rsidRPr="00D431EA">
        <w:rPr>
          <w:sz w:val="24"/>
          <w:szCs w:val="24"/>
        </w:rPr>
        <w:lastRenderedPageBreak/>
        <w:t xml:space="preserve">available to them. Standardized food packaging, for example, may seem like a convenience recently invented by industrial society, but one of the most common finds coming out of Babylonian and Assyrian sites are simple, mass-produced food containers stamped with a symbol representing </w:t>
      </w:r>
      <w:r w:rsidR="004F4407" w:rsidRPr="00D431EA">
        <w:rPr>
          <w:sz w:val="24"/>
          <w:szCs w:val="24"/>
        </w:rPr>
        <w:t>their</w:t>
      </w:r>
      <w:r w:rsidR="000C1A58" w:rsidRPr="00D431EA">
        <w:rPr>
          <w:sz w:val="24"/>
          <w:szCs w:val="24"/>
        </w:rPr>
        <w:t xml:space="preserve"> intended contents.</w:t>
      </w:r>
      <w:sdt>
        <w:sdtPr>
          <w:rPr>
            <w:sz w:val="24"/>
            <w:szCs w:val="24"/>
          </w:rPr>
          <w:id w:val="45802691"/>
          <w:citation/>
        </w:sdtPr>
        <w:sdtContent>
          <w:r w:rsidR="000C1A58" w:rsidRPr="00D431EA">
            <w:rPr>
              <w:sz w:val="24"/>
              <w:szCs w:val="24"/>
            </w:rPr>
            <w:fldChar w:fldCharType="begin"/>
          </w:r>
          <w:r w:rsidR="000C1A58" w:rsidRPr="00D431EA">
            <w:rPr>
              <w:sz w:val="24"/>
              <w:szCs w:val="24"/>
            </w:rPr>
            <w:instrText xml:space="preserve"> CITATION Dav18 \l 1033 </w:instrText>
          </w:r>
          <w:r w:rsidR="000C1A58" w:rsidRPr="00D431EA">
            <w:rPr>
              <w:sz w:val="24"/>
              <w:szCs w:val="24"/>
            </w:rPr>
            <w:fldChar w:fldCharType="separate"/>
          </w:r>
          <w:r w:rsidR="000C1A58" w:rsidRPr="00D431EA">
            <w:rPr>
              <w:noProof/>
              <w:sz w:val="24"/>
              <w:szCs w:val="24"/>
            </w:rPr>
            <w:t xml:space="preserve"> (Wengrow, 2018)</w:t>
          </w:r>
          <w:r w:rsidR="000C1A58" w:rsidRPr="00D431EA">
            <w:rPr>
              <w:sz w:val="24"/>
              <w:szCs w:val="24"/>
            </w:rPr>
            <w:fldChar w:fldCharType="end"/>
          </w:r>
        </w:sdtContent>
      </w:sdt>
      <w:r w:rsidR="000C1A58" w:rsidRPr="00D431EA">
        <w:rPr>
          <w:sz w:val="24"/>
          <w:szCs w:val="24"/>
        </w:rPr>
        <w:t xml:space="preserve"> We may mold plastic instead of clay to contain our food, but what is the functional difference if both are produced </w:t>
      </w:r>
      <w:r w:rsidR="00290253" w:rsidRPr="00D431EA">
        <w:rPr>
          <w:sz w:val="24"/>
          <w:szCs w:val="24"/>
        </w:rPr>
        <w:t>at</w:t>
      </w:r>
      <w:r w:rsidR="000C1A58" w:rsidRPr="00D431EA">
        <w:rPr>
          <w:sz w:val="24"/>
          <w:szCs w:val="24"/>
        </w:rPr>
        <w:t xml:space="preserve"> large scale and made available to workers paid a standard wage </w:t>
      </w:r>
      <w:r w:rsidR="00290253" w:rsidRPr="00D431EA">
        <w:rPr>
          <w:sz w:val="24"/>
          <w:szCs w:val="24"/>
        </w:rPr>
        <w:t xml:space="preserve">all under the regulations set out by the state? Turning to Egypt, his true forte, Wengrow focuses in on personal makeup palates. Once thought to only be a mark of royalty, archaeological investigations have discovered palates running the full range from simple to ornate in the grave goods of average people. While the pharaohs may have had their own engraved with symbols of their divine power, it now appears the majority of </w:t>
      </w:r>
      <w:r w:rsidR="004F4407" w:rsidRPr="00D431EA">
        <w:rPr>
          <w:sz w:val="24"/>
          <w:szCs w:val="24"/>
        </w:rPr>
        <w:t xml:space="preserve">ancient </w:t>
      </w:r>
      <w:r w:rsidR="00290253" w:rsidRPr="00D431EA">
        <w:rPr>
          <w:sz w:val="24"/>
          <w:szCs w:val="24"/>
        </w:rPr>
        <w:t>Egyptians had access to goods once assumed to be only available to the elite.</w:t>
      </w:r>
      <w:r w:rsidR="00003777" w:rsidRPr="00D431EA">
        <w:rPr>
          <w:sz w:val="24"/>
          <w:szCs w:val="24"/>
        </w:rPr>
        <w:t xml:space="preserve"> Affluence cannot always be determined from artifacts alone and interpretation of the value of an artifact to the society that </w:t>
      </w:r>
      <w:r w:rsidR="000B297A" w:rsidRPr="00D431EA">
        <w:rPr>
          <w:sz w:val="24"/>
          <w:szCs w:val="24"/>
        </w:rPr>
        <w:t xml:space="preserve">produced it requires investigation of all aspects of that society, not just their elites. </w:t>
      </w:r>
      <w:r w:rsidR="007103D9" w:rsidRPr="00D431EA">
        <w:rPr>
          <w:sz w:val="24"/>
          <w:szCs w:val="24"/>
        </w:rPr>
        <w:t xml:space="preserve">We know pharaonic Egypt was not an egalitarian society, but perceptions of what Egyptians considered socially valuable have been skewed by the (understandable) focus on the tombs of pharaohs. </w:t>
      </w:r>
    </w:p>
    <w:p w14:paraId="5A25297D" w14:textId="5EC0714B" w:rsidR="00843A27" w:rsidRPr="00D431EA" w:rsidRDefault="007103D9" w:rsidP="00C048AF">
      <w:pPr>
        <w:spacing w:line="480" w:lineRule="auto"/>
        <w:rPr>
          <w:sz w:val="24"/>
          <w:szCs w:val="24"/>
        </w:rPr>
      </w:pPr>
      <w:r w:rsidRPr="00D431EA">
        <w:rPr>
          <w:sz w:val="24"/>
          <w:szCs w:val="24"/>
        </w:rPr>
        <w:tab/>
        <w:t xml:space="preserve">This brings us to another consideration briefly mentioned above: human agency. The archaeological and ethnographic records </w:t>
      </w:r>
      <w:r w:rsidR="0002702F" w:rsidRPr="00D431EA">
        <w:rPr>
          <w:sz w:val="24"/>
          <w:szCs w:val="24"/>
        </w:rPr>
        <w:t xml:space="preserve">are a testament to the seemingly endless ways humans have structured their societies. While there certainly are patterns of culture to be found, it is not the case that given </w:t>
      </w:r>
      <w:r w:rsidR="00AB5E8A" w:rsidRPr="00D431EA">
        <w:rPr>
          <w:sz w:val="24"/>
          <w:szCs w:val="24"/>
        </w:rPr>
        <w:t>specific</w:t>
      </w:r>
      <w:r w:rsidR="0002702F" w:rsidRPr="00D431EA">
        <w:rPr>
          <w:sz w:val="24"/>
          <w:szCs w:val="24"/>
        </w:rPr>
        <w:t xml:space="preserve"> material and environmental inputs groups of people will </w:t>
      </w:r>
      <w:r w:rsidR="00AB5E8A" w:rsidRPr="00D431EA">
        <w:rPr>
          <w:sz w:val="24"/>
          <w:szCs w:val="24"/>
        </w:rPr>
        <w:t xml:space="preserve">then create the same cultural structures. </w:t>
      </w:r>
      <w:r w:rsidR="000655DD" w:rsidRPr="00D431EA">
        <w:rPr>
          <w:sz w:val="24"/>
          <w:szCs w:val="24"/>
        </w:rPr>
        <w:t xml:space="preserve">Culture is made up of the practices, food, and objects people choose to do and make, and its forms cannot be simply inferred from material </w:t>
      </w:r>
      <w:r w:rsidR="000655DD" w:rsidRPr="00D431EA">
        <w:rPr>
          <w:sz w:val="24"/>
          <w:szCs w:val="24"/>
        </w:rPr>
        <w:lastRenderedPageBreak/>
        <w:t>analysis</w:t>
      </w:r>
      <w:r w:rsidR="00473126" w:rsidRPr="00D431EA">
        <w:rPr>
          <w:sz w:val="24"/>
          <w:szCs w:val="24"/>
        </w:rPr>
        <w:t xml:space="preserve">. As we are social animals, our individual personalities are not unaffected by those of the people we interact with. So too with culture. Let us return to the Yurok and their Californian neighbors for another example. </w:t>
      </w:r>
      <w:r w:rsidR="00E45204" w:rsidRPr="00D431EA">
        <w:rPr>
          <w:sz w:val="24"/>
          <w:szCs w:val="24"/>
        </w:rPr>
        <w:t>The Yurok had a strong tradition of private property, which extended both to individual tools as well as hunting grounds.</w:t>
      </w:r>
      <w:sdt>
        <w:sdtPr>
          <w:rPr>
            <w:sz w:val="24"/>
            <w:szCs w:val="24"/>
          </w:rPr>
          <w:id w:val="1515111049"/>
          <w:citation/>
        </w:sdtPr>
        <w:sdtContent>
          <w:r w:rsidR="00B27528" w:rsidRPr="00D431EA">
            <w:rPr>
              <w:sz w:val="24"/>
              <w:szCs w:val="24"/>
            </w:rPr>
            <w:fldChar w:fldCharType="begin"/>
          </w:r>
          <w:r w:rsidR="00B27528" w:rsidRPr="00D431EA">
            <w:rPr>
              <w:sz w:val="24"/>
              <w:szCs w:val="24"/>
            </w:rPr>
            <w:instrText xml:space="preserve"> CITATION Gra21 \l 1033 </w:instrText>
          </w:r>
          <w:r w:rsidR="00B27528" w:rsidRPr="00D431EA">
            <w:rPr>
              <w:sz w:val="24"/>
              <w:szCs w:val="24"/>
            </w:rPr>
            <w:fldChar w:fldCharType="separate"/>
          </w:r>
          <w:r w:rsidR="00B27528" w:rsidRPr="00D431EA">
            <w:rPr>
              <w:noProof/>
              <w:sz w:val="24"/>
              <w:szCs w:val="24"/>
            </w:rPr>
            <w:t xml:space="preserve"> (Graeber &amp; Wengrow, 2021)</w:t>
          </w:r>
          <w:r w:rsidR="00B27528" w:rsidRPr="00D431EA">
            <w:rPr>
              <w:sz w:val="24"/>
              <w:szCs w:val="24"/>
            </w:rPr>
            <w:fldChar w:fldCharType="end"/>
          </w:r>
        </w:sdtContent>
      </w:sdt>
      <w:r w:rsidR="00E45204" w:rsidRPr="00D431EA">
        <w:rPr>
          <w:sz w:val="24"/>
          <w:szCs w:val="24"/>
        </w:rPr>
        <w:t xml:space="preserve"> This fits in with their cultural value of self-reliance most obviously demonstrated in the focus o</w:t>
      </w:r>
      <w:r w:rsidR="00B27528" w:rsidRPr="00D431EA">
        <w:rPr>
          <w:sz w:val="24"/>
          <w:szCs w:val="24"/>
        </w:rPr>
        <w:t>n</w:t>
      </w:r>
      <w:r w:rsidR="00E45204" w:rsidRPr="00D431EA">
        <w:rPr>
          <w:sz w:val="24"/>
          <w:szCs w:val="24"/>
        </w:rPr>
        <w:t xml:space="preserve"> doing manual labor</w:t>
      </w:r>
      <w:r w:rsidR="00B27528" w:rsidRPr="00D431EA">
        <w:rPr>
          <w:sz w:val="24"/>
          <w:szCs w:val="24"/>
        </w:rPr>
        <w:t>. Yurok legends feature heroic figures who defeat loathsome adversaries almost always depicted as coming from tribes to their north where slavery and raiding to acquire slaves was common. In one such legend, the Yurok hero defeats a northern raider and frees their slaves, going so far as to refuse the now-freed people</w:t>
      </w:r>
      <w:r w:rsidR="00D431EA" w:rsidRPr="00D431EA">
        <w:rPr>
          <w:sz w:val="24"/>
          <w:szCs w:val="24"/>
        </w:rPr>
        <w:t>’</w:t>
      </w:r>
      <w:r w:rsidR="00B27528" w:rsidRPr="00D431EA">
        <w:rPr>
          <w:sz w:val="24"/>
          <w:szCs w:val="24"/>
        </w:rPr>
        <w:t>s offer of even minor assistance as thanks. “</w:t>
      </w:r>
      <w:r w:rsidR="00B27528" w:rsidRPr="00D431EA">
        <w:rPr>
          <w:sz w:val="24"/>
          <w:szCs w:val="24"/>
        </w:rPr>
        <w:t>The people who had been enslaved surrounded him, weeping and thanking him and wanting to drag his boat back to the water. ‘No, I will drag it myself,’ he said</w:t>
      </w:r>
      <w:r w:rsidR="00B27528" w:rsidRPr="00D431EA">
        <w:rPr>
          <w:sz w:val="24"/>
          <w:szCs w:val="24"/>
        </w:rPr>
        <w:t xml:space="preserve">…”. </w:t>
      </w:r>
      <w:sdt>
        <w:sdtPr>
          <w:rPr>
            <w:sz w:val="24"/>
            <w:szCs w:val="24"/>
          </w:rPr>
          <w:id w:val="-367909434"/>
          <w:citation/>
        </w:sdtPr>
        <w:sdtContent>
          <w:r w:rsidR="00B27528" w:rsidRPr="00D431EA">
            <w:rPr>
              <w:sz w:val="24"/>
              <w:szCs w:val="24"/>
            </w:rPr>
            <w:fldChar w:fldCharType="begin"/>
          </w:r>
          <w:r w:rsidR="00B27528" w:rsidRPr="00D431EA">
            <w:rPr>
              <w:sz w:val="24"/>
              <w:szCs w:val="24"/>
            </w:rPr>
            <w:instrText xml:space="preserve"> CITATION Gra21 \l 1033 </w:instrText>
          </w:r>
          <w:r w:rsidR="00B27528" w:rsidRPr="00D431EA">
            <w:rPr>
              <w:sz w:val="24"/>
              <w:szCs w:val="24"/>
            </w:rPr>
            <w:fldChar w:fldCharType="separate"/>
          </w:r>
          <w:r w:rsidR="00B27528" w:rsidRPr="00D431EA">
            <w:rPr>
              <w:noProof/>
              <w:sz w:val="24"/>
              <w:szCs w:val="24"/>
            </w:rPr>
            <w:t>(Graeber &amp; Wengrow, 2021)</w:t>
          </w:r>
          <w:r w:rsidR="00B27528" w:rsidRPr="00D431EA">
            <w:rPr>
              <w:sz w:val="24"/>
              <w:szCs w:val="24"/>
            </w:rPr>
            <w:fldChar w:fldCharType="end"/>
          </w:r>
        </w:sdtContent>
      </w:sdt>
      <w:r w:rsidR="00B27528" w:rsidRPr="00D431EA">
        <w:rPr>
          <w:sz w:val="24"/>
          <w:szCs w:val="24"/>
        </w:rPr>
        <w:t xml:space="preserve"> Rejection of slavery, a cultural value of self-reliance, and a strong form of private property are all choices the Yurok made that differentiate themselves from the other hunter-gatherers of the area. </w:t>
      </w:r>
      <w:r w:rsidR="00D431EA" w:rsidRPr="00D431EA">
        <w:rPr>
          <w:sz w:val="24"/>
          <w:szCs w:val="24"/>
        </w:rPr>
        <w:t xml:space="preserve">Their neighbors have nearly identical environmental conditions and the mosaic of cultural patterns in the region demonstrates how people have chosen to differentiate themselves. This process of conscious creation of cultural difference may be described as “schismogenesis”, a term first applied to anthropology by Gregory Bateson though used more broadly here. </w:t>
      </w:r>
    </w:p>
    <w:p w14:paraId="0FC8F4EF" w14:textId="6528A9CC" w:rsidR="005C6679" w:rsidRPr="00D431EA" w:rsidRDefault="00554EAB" w:rsidP="00C048AF">
      <w:pPr>
        <w:spacing w:line="480" w:lineRule="auto"/>
        <w:rPr>
          <w:b/>
          <w:bCs/>
          <w:sz w:val="24"/>
          <w:szCs w:val="24"/>
        </w:rPr>
      </w:pPr>
      <w:r w:rsidRPr="00D431EA">
        <w:rPr>
          <w:b/>
          <w:bCs/>
          <w:sz w:val="24"/>
          <w:szCs w:val="24"/>
        </w:rPr>
        <w:t>Conclusion</w:t>
      </w:r>
      <w:r w:rsidR="005C6679" w:rsidRPr="00D431EA">
        <w:rPr>
          <w:b/>
          <w:bCs/>
          <w:sz w:val="24"/>
          <w:szCs w:val="24"/>
        </w:rPr>
        <w:t xml:space="preserve"> </w:t>
      </w:r>
    </w:p>
    <w:p w14:paraId="72FA182D" w14:textId="5B607CA0" w:rsidR="00C048AF" w:rsidRPr="00D431EA" w:rsidRDefault="00D431EA" w:rsidP="00C048AF">
      <w:pPr>
        <w:spacing w:line="480" w:lineRule="auto"/>
        <w:rPr>
          <w:sz w:val="24"/>
          <w:szCs w:val="24"/>
        </w:rPr>
      </w:pPr>
      <w:r>
        <w:rPr>
          <w:sz w:val="24"/>
          <w:szCs w:val="24"/>
        </w:rPr>
        <w:tab/>
      </w:r>
      <w:r w:rsidR="00C048AF">
        <w:rPr>
          <w:sz w:val="24"/>
          <w:szCs w:val="24"/>
        </w:rPr>
        <w:t xml:space="preserve">The question of social inequality and its origin cannot be answered by econometric modelling, and we have seen how thought experiments speculating on the earliest forms of human society default to retooled versions of the Christian Fall. Even with more archaeological </w:t>
      </w:r>
      <w:r w:rsidR="00C048AF">
        <w:rPr>
          <w:sz w:val="24"/>
          <w:szCs w:val="24"/>
        </w:rPr>
        <w:lastRenderedPageBreak/>
        <w:t xml:space="preserve">evidence than ever before the popular conception of humanity’s past assumes we were either backwards barbarians or noble savages. There is little to no consideration of human agency in these presuppositions, and thus different conceptions of value, affluence, and egalitarian ideals are flattened into simple inequality metrics divorced from reality. </w:t>
      </w:r>
      <w:r w:rsidR="00BA5017">
        <w:rPr>
          <w:sz w:val="24"/>
          <w:szCs w:val="24"/>
        </w:rPr>
        <w:t>The reality is</w:t>
      </w:r>
      <w:r w:rsidR="00C048AF">
        <w:rPr>
          <w:sz w:val="24"/>
          <w:szCs w:val="24"/>
        </w:rPr>
        <w:t xml:space="preserve"> that </w:t>
      </w:r>
      <w:r w:rsidR="00BA5017">
        <w:rPr>
          <w:sz w:val="24"/>
          <w:szCs w:val="24"/>
        </w:rPr>
        <w:t xml:space="preserve">we are currently as capable of creating complex societies as we have been </w:t>
      </w:r>
      <w:r w:rsidR="00C048AF">
        <w:rPr>
          <w:sz w:val="24"/>
          <w:szCs w:val="24"/>
        </w:rPr>
        <w:t>since we became anatomically modern</w:t>
      </w:r>
      <w:r w:rsidR="00BA5017">
        <w:rPr>
          <w:sz w:val="24"/>
          <w:szCs w:val="24"/>
        </w:rPr>
        <w:t>, and so investigations of our past should always consider our ancestors as our cognitive equals. Social inequality has no beginning. The first group of humans to have social inequality may not have considered inequality to exist in the way we think about it today because it may not have mattered to their society.</w:t>
      </w:r>
    </w:p>
    <w:p w14:paraId="3F3F7EA5" w14:textId="77777777" w:rsidR="00C048AF" w:rsidRDefault="00C048AF">
      <w:r>
        <w:br w:type="page"/>
      </w:r>
    </w:p>
    <w:sdt>
      <w:sdtPr>
        <w:rPr>
          <w:rFonts w:asciiTheme="minorHAnsi" w:eastAsiaTheme="minorHAnsi" w:hAnsiTheme="minorHAnsi" w:cstheme="minorBidi"/>
          <w:color w:val="auto"/>
          <w:sz w:val="22"/>
          <w:szCs w:val="22"/>
        </w:rPr>
        <w:id w:val="-1194611537"/>
        <w:docPartObj>
          <w:docPartGallery w:val="Bibliographies"/>
          <w:docPartUnique/>
        </w:docPartObj>
      </w:sdtPr>
      <w:sdtEndPr>
        <w:rPr>
          <w:b/>
          <w:bCs/>
        </w:rPr>
      </w:sdtEndPr>
      <w:sdtContent>
        <w:p w14:paraId="70126986" w14:textId="2F85E8C4" w:rsidR="00250FA0" w:rsidRDefault="00250FA0" w:rsidP="006277EC">
          <w:pPr>
            <w:pStyle w:val="Heading1"/>
            <w:spacing w:line="480" w:lineRule="auto"/>
          </w:pPr>
          <w:r>
            <w:t>Works Cited</w:t>
          </w:r>
        </w:p>
        <w:p w14:paraId="7B0F84B7" w14:textId="77777777" w:rsidR="00EA5B43" w:rsidRDefault="00250FA0" w:rsidP="006277EC">
          <w:pPr>
            <w:pStyle w:val="Bibliography"/>
            <w:spacing w:line="480" w:lineRule="auto"/>
            <w:rPr>
              <w:noProof/>
              <w:sz w:val="24"/>
              <w:szCs w:val="24"/>
            </w:rPr>
          </w:pPr>
          <w:r>
            <w:fldChar w:fldCharType="begin"/>
          </w:r>
          <w:r>
            <w:instrText xml:space="preserve"> BIBLIOGRAPHY </w:instrText>
          </w:r>
          <w:r>
            <w:fldChar w:fldCharType="separate"/>
          </w:r>
          <w:r w:rsidR="00EA5B43">
            <w:rPr>
              <w:noProof/>
            </w:rPr>
            <w:t xml:space="preserve">Engels, F., 1902. </w:t>
          </w:r>
          <w:r w:rsidR="00EA5B43">
            <w:rPr>
              <w:i/>
              <w:iCs/>
              <w:noProof/>
            </w:rPr>
            <w:t xml:space="preserve">The Origin of the Family, Private Property, and the State. </w:t>
          </w:r>
          <w:r w:rsidR="00EA5B43">
            <w:rPr>
              <w:noProof/>
            </w:rPr>
            <w:t>Chicago: Charles H. Kerr &amp; Co..</w:t>
          </w:r>
        </w:p>
        <w:p w14:paraId="1D63475C" w14:textId="77777777" w:rsidR="00EA5B43" w:rsidRDefault="00EA5B43" w:rsidP="006277EC">
          <w:pPr>
            <w:pStyle w:val="Bibliography"/>
            <w:spacing w:line="480" w:lineRule="auto"/>
            <w:rPr>
              <w:noProof/>
            </w:rPr>
          </w:pPr>
          <w:r>
            <w:rPr>
              <w:noProof/>
            </w:rPr>
            <w:t xml:space="preserve">Federici, S., 2004. </w:t>
          </w:r>
          <w:r>
            <w:rPr>
              <w:i/>
              <w:iCs/>
              <w:noProof/>
            </w:rPr>
            <w:t xml:space="preserve">Caliban and the Witch: Women, the Body, and Primitive Accumulation. </w:t>
          </w:r>
          <w:r>
            <w:rPr>
              <w:noProof/>
            </w:rPr>
            <w:t>s.l.:Autonomedia.</w:t>
          </w:r>
        </w:p>
        <w:p w14:paraId="04B55709" w14:textId="77777777" w:rsidR="00EA5B43" w:rsidRDefault="00EA5B43" w:rsidP="006277EC">
          <w:pPr>
            <w:pStyle w:val="Bibliography"/>
            <w:spacing w:line="480" w:lineRule="auto"/>
            <w:rPr>
              <w:noProof/>
            </w:rPr>
          </w:pPr>
          <w:r>
            <w:rPr>
              <w:noProof/>
            </w:rPr>
            <w:t xml:space="preserve">Fix, B., 2019. Energy, hierarchy and the Origin of Inequality. </w:t>
          </w:r>
          <w:r>
            <w:rPr>
              <w:i/>
              <w:iCs/>
              <w:noProof/>
            </w:rPr>
            <w:t>PloS One.</w:t>
          </w:r>
        </w:p>
        <w:p w14:paraId="3BD8BA1A" w14:textId="77777777" w:rsidR="00EA5B43" w:rsidRDefault="00EA5B43" w:rsidP="006277EC">
          <w:pPr>
            <w:pStyle w:val="Bibliography"/>
            <w:spacing w:line="480" w:lineRule="auto"/>
            <w:rPr>
              <w:noProof/>
            </w:rPr>
          </w:pPr>
          <w:r>
            <w:rPr>
              <w:noProof/>
            </w:rPr>
            <w:t xml:space="preserve">Graeber, D., 2001. </w:t>
          </w:r>
          <w:r>
            <w:rPr>
              <w:i/>
              <w:iCs/>
              <w:noProof/>
            </w:rPr>
            <w:t xml:space="preserve">Toward an Anthropological Theory of Value: The False Coin of Our Own Dreams. </w:t>
          </w:r>
          <w:r>
            <w:rPr>
              <w:noProof/>
            </w:rPr>
            <w:t>New York: Palgrave.</w:t>
          </w:r>
        </w:p>
        <w:p w14:paraId="04685C61" w14:textId="77777777" w:rsidR="00EA5B43" w:rsidRDefault="00EA5B43" w:rsidP="006277EC">
          <w:pPr>
            <w:pStyle w:val="Bibliography"/>
            <w:spacing w:line="480" w:lineRule="auto"/>
            <w:rPr>
              <w:noProof/>
            </w:rPr>
          </w:pPr>
          <w:r>
            <w:rPr>
              <w:noProof/>
            </w:rPr>
            <w:t xml:space="preserve">Graeber, D. &amp; Wengrow, D., 2021. </w:t>
          </w:r>
          <w:r>
            <w:rPr>
              <w:i/>
              <w:iCs/>
              <w:noProof/>
            </w:rPr>
            <w:t xml:space="preserve">The Dawn of Everything. </w:t>
          </w:r>
          <w:r>
            <w:rPr>
              <w:noProof/>
            </w:rPr>
            <w:t>s.l.:Farrar, Straus and Giroux.</w:t>
          </w:r>
        </w:p>
        <w:p w14:paraId="32AC9C0D" w14:textId="77777777" w:rsidR="00EA5B43" w:rsidRDefault="00EA5B43" w:rsidP="006277EC">
          <w:pPr>
            <w:pStyle w:val="Bibliography"/>
            <w:spacing w:line="480" w:lineRule="auto"/>
            <w:rPr>
              <w:noProof/>
            </w:rPr>
          </w:pPr>
          <w:r>
            <w:rPr>
              <w:noProof/>
            </w:rPr>
            <w:t xml:space="preserve">Kroeber, A. L., 1976. </w:t>
          </w:r>
          <w:r>
            <w:rPr>
              <w:i/>
              <w:iCs/>
              <w:noProof/>
            </w:rPr>
            <w:t xml:space="preserve">Handbook of the Indians of California. </w:t>
          </w:r>
          <w:r>
            <w:rPr>
              <w:noProof/>
            </w:rPr>
            <w:t>New York: Dover Publications.</w:t>
          </w:r>
        </w:p>
        <w:p w14:paraId="22EB7C03" w14:textId="77777777" w:rsidR="00EA5B43" w:rsidRDefault="00EA5B43" w:rsidP="006277EC">
          <w:pPr>
            <w:pStyle w:val="Bibliography"/>
            <w:spacing w:line="480" w:lineRule="auto"/>
            <w:rPr>
              <w:noProof/>
            </w:rPr>
          </w:pPr>
          <w:r>
            <w:rPr>
              <w:noProof/>
            </w:rPr>
            <w:t xml:space="preserve">Malinowski, B., 1950. </w:t>
          </w:r>
          <w:r>
            <w:rPr>
              <w:i/>
              <w:iCs/>
              <w:noProof/>
            </w:rPr>
            <w:t xml:space="preserve">Argonauts of the Western Pacific : an Account of Native Enterprise and Adventure in the Archipelagoes of Melanesian New Guinea. </w:t>
          </w:r>
          <w:r>
            <w:rPr>
              <w:noProof/>
            </w:rPr>
            <w:t>New York: E.P. Dutton.</w:t>
          </w:r>
        </w:p>
        <w:p w14:paraId="3F013809" w14:textId="77777777" w:rsidR="00EA5B43" w:rsidRDefault="00EA5B43" w:rsidP="006277EC">
          <w:pPr>
            <w:pStyle w:val="Bibliography"/>
            <w:spacing w:line="480" w:lineRule="auto"/>
            <w:rPr>
              <w:noProof/>
            </w:rPr>
          </w:pPr>
          <w:r>
            <w:rPr>
              <w:noProof/>
            </w:rPr>
            <w:t xml:space="preserve">Mauss, M. &amp; Halls, W. D., 1990. </w:t>
          </w:r>
          <w:r>
            <w:rPr>
              <w:i/>
              <w:iCs/>
              <w:noProof/>
            </w:rPr>
            <w:t xml:space="preserve">The Gift. </w:t>
          </w:r>
          <w:r>
            <w:rPr>
              <w:noProof/>
            </w:rPr>
            <w:t>s.l.:s.n.</w:t>
          </w:r>
        </w:p>
        <w:p w14:paraId="2CCF8CE9" w14:textId="77777777" w:rsidR="00EA5B43" w:rsidRDefault="00EA5B43" w:rsidP="006277EC">
          <w:pPr>
            <w:pStyle w:val="Bibliography"/>
            <w:spacing w:line="480" w:lineRule="auto"/>
            <w:rPr>
              <w:noProof/>
            </w:rPr>
          </w:pPr>
          <w:r>
            <w:rPr>
              <w:noProof/>
            </w:rPr>
            <w:t xml:space="preserve">Rousseau, J.-J., 2009. </w:t>
          </w:r>
          <w:r>
            <w:rPr>
              <w:i/>
              <w:iCs/>
              <w:noProof/>
            </w:rPr>
            <w:t xml:space="preserve">Discourse on Inequality: On the Origin and Basis of Inequality Among Men. </w:t>
          </w:r>
          <w:r>
            <w:rPr>
              <w:noProof/>
            </w:rPr>
            <w:t>Auckland: Floating Press.</w:t>
          </w:r>
        </w:p>
        <w:p w14:paraId="315D7FBE" w14:textId="77777777" w:rsidR="00EA5B43" w:rsidRDefault="00EA5B43" w:rsidP="006277EC">
          <w:pPr>
            <w:pStyle w:val="Bibliography"/>
            <w:spacing w:line="480" w:lineRule="auto"/>
            <w:rPr>
              <w:noProof/>
            </w:rPr>
          </w:pPr>
          <w:r>
            <w:rPr>
              <w:noProof/>
            </w:rPr>
            <w:t xml:space="preserve">Sahlins, M., 2009. Hunter-Gatherers: Insights from a Golden Affluent Age. </w:t>
          </w:r>
          <w:r>
            <w:rPr>
              <w:i/>
              <w:iCs/>
              <w:noProof/>
            </w:rPr>
            <w:t>Pacific Ecologist</w:t>
          </w:r>
          <w:r>
            <w:rPr>
              <w:noProof/>
            </w:rPr>
            <w:t>, Issue 18, pp. 3-8.</w:t>
          </w:r>
        </w:p>
        <w:p w14:paraId="6AFA5F3B" w14:textId="77777777" w:rsidR="00EA5B43" w:rsidRDefault="00EA5B43" w:rsidP="006277EC">
          <w:pPr>
            <w:pStyle w:val="Bibliography"/>
            <w:spacing w:line="480" w:lineRule="auto"/>
            <w:rPr>
              <w:noProof/>
            </w:rPr>
          </w:pPr>
          <w:r>
            <w:rPr>
              <w:noProof/>
            </w:rPr>
            <w:t xml:space="preserve">Wengrow, D., 2018. </w:t>
          </w:r>
          <w:r>
            <w:rPr>
              <w:i/>
              <w:iCs/>
              <w:noProof/>
            </w:rPr>
            <w:t xml:space="preserve">What Makes Civilization?: The Ancient Near East and the Future of the West. </w:t>
          </w:r>
          <w:r>
            <w:rPr>
              <w:noProof/>
            </w:rPr>
            <w:t>Oxford: Oxford University Press.</w:t>
          </w:r>
        </w:p>
        <w:p w14:paraId="0D673C6F" w14:textId="52973E5A" w:rsidR="00250FA0" w:rsidRDefault="00250FA0" w:rsidP="006277EC">
          <w:pPr>
            <w:spacing w:line="480" w:lineRule="auto"/>
          </w:pPr>
          <w:r>
            <w:rPr>
              <w:b/>
              <w:bCs/>
            </w:rPr>
            <w:fldChar w:fldCharType="end"/>
          </w:r>
        </w:p>
      </w:sdtContent>
    </w:sdt>
    <w:p w14:paraId="6406D8BD" w14:textId="77777777" w:rsidR="00250FA0" w:rsidRPr="00880BCD" w:rsidRDefault="00250FA0" w:rsidP="006277EC">
      <w:pPr>
        <w:spacing w:line="480" w:lineRule="auto"/>
      </w:pPr>
    </w:p>
    <w:sectPr w:rsidR="00250FA0" w:rsidRPr="00880BC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B01445" w14:textId="77777777" w:rsidR="00695164" w:rsidRDefault="00695164" w:rsidP="00F471E8">
      <w:pPr>
        <w:spacing w:after="0" w:line="240" w:lineRule="auto"/>
      </w:pPr>
      <w:r>
        <w:separator/>
      </w:r>
    </w:p>
  </w:endnote>
  <w:endnote w:type="continuationSeparator" w:id="0">
    <w:p w14:paraId="19C3CA65" w14:textId="77777777" w:rsidR="00695164" w:rsidRDefault="00695164" w:rsidP="00F471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CAE26" w14:textId="77777777" w:rsidR="00695164" w:rsidRDefault="00695164" w:rsidP="00F471E8">
      <w:pPr>
        <w:spacing w:after="0" w:line="240" w:lineRule="auto"/>
      </w:pPr>
      <w:r>
        <w:separator/>
      </w:r>
    </w:p>
  </w:footnote>
  <w:footnote w:type="continuationSeparator" w:id="0">
    <w:p w14:paraId="303B0C0D" w14:textId="77777777" w:rsidR="00695164" w:rsidRDefault="00695164" w:rsidP="00F471E8">
      <w:pPr>
        <w:spacing w:after="0" w:line="240" w:lineRule="auto"/>
      </w:pPr>
      <w:r>
        <w:continuationSeparator/>
      </w:r>
    </w:p>
  </w:footnote>
  <w:footnote w:id="1">
    <w:p w14:paraId="75F127A9" w14:textId="340FC40D" w:rsidR="00C26417" w:rsidRDefault="00C26417">
      <w:pPr>
        <w:pStyle w:val="FootnoteText"/>
      </w:pPr>
      <w:r>
        <w:rPr>
          <w:rStyle w:val="FootnoteReference"/>
        </w:rPr>
        <w:footnoteRef/>
      </w:r>
      <w:r>
        <w:t xml:space="preserve"> </w:t>
      </w:r>
      <w:r w:rsidR="009737E2">
        <w:t xml:space="preserve">In general, French accounts of Wendat society describe their so-called “chiefs” as having power only in proportion to their rhetorical abilities. </w:t>
      </w:r>
      <w:r>
        <w:t xml:space="preserve">Graeber and Wengrow note a particular Wendat statesman named Kandaironk who was often invited to participate in friendly debates by the governor of New France and traveled to Paris at least once. </w:t>
      </w:r>
    </w:p>
  </w:footnote>
  <w:footnote w:id="2">
    <w:p w14:paraId="3BA7AF7D" w14:textId="121624DB" w:rsidR="003851AF" w:rsidRDefault="003851AF">
      <w:pPr>
        <w:pStyle w:val="FootnoteText"/>
      </w:pPr>
      <w:r>
        <w:rPr>
          <w:rStyle w:val="FootnoteReference"/>
        </w:rPr>
        <w:footnoteRef/>
      </w:r>
      <w:r>
        <w:t xml:space="preserve"> Kroeber describes </w:t>
      </w:r>
      <w:r w:rsidR="0084218B">
        <w:t>the 1865 experience of a</w:t>
      </w:r>
      <w:r w:rsidR="009346C3">
        <w:t xml:space="preserve"> Captain Scott who</w:t>
      </w:r>
      <w:r w:rsidR="0084218B">
        <w:t xml:space="preserve"> </w:t>
      </w:r>
      <w:r w:rsidR="009346C3">
        <w:t xml:space="preserve">was </w:t>
      </w:r>
      <w:r w:rsidR="0084218B">
        <w:t xml:space="preserve">directed by a Yurok medicine man to gather firewood for the sweat lodge, thus certifying his full acceptance into Yurok society. </w:t>
      </w:r>
    </w:p>
  </w:footnote>
  <w:footnote w:id="3">
    <w:p w14:paraId="0F5E3E8B" w14:textId="46DC2A10" w:rsidR="00D348E0" w:rsidRDefault="00D348E0">
      <w:pPr>
        <w:pStyle w:val="FootnoteText"/>
      </w:pPr>
      <w:r>
        <w:rPr>
          <w:rStyle w:val="FootnoteReference"/>
        </w:rPr>
        <w:footnoteRef/>
      </w:r>
      <w:r>
        <w:t xml:space="preserve"> Engels was a perfectly fine thinker in his own right, but all his work is by default labeled under Marxism</w:t>
      </w:r>
      <w:r w:rsidR="002B6518">
        <w:t xml:space="preserve"> in no small part because much of this and other works are first derived from Marx’s own notes.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716A3"/>
    <w:multiLevelType w:val="hybridMultilevel"/>
    <w:tmpl w:val="9650FD26"/>
    <w:lvl w:ilvl="0" w:tplc="8D76497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4859039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1C0"/>
    <w:rsid w:val="00003777"/>
    <w:rsid w:val="00025745"/>
    <w:rsid w:val="0002702F"/>
    <w:rsid w:val="00056A9E"/>
    <w:rsid w:val="000655DD"/>
    <w:rsid w:val="0007274C"/>
    <w:rsid w:val="00095710"/>
    <w:rsid w:val="000B297A"/>
    <w:rsid w:val="000C1A58"/>
    <w:rsid w:val="000D4F3A"/>
    <w:rsid w:val="000F5E13"/>
    <w:rsid w:val="001462BE"/>
    <w:rsid w:val="00194861"/>
    <w:rsid w:val="002308D7"/>
    <w:rsid w:val="00243F8F"/>
    <w:rsid w:val="00250FA0"/>
    <w:rsid w:val="00290253"/>
    <w:rsid w:val="002A36CA"/>
    <w:rsid w:val="002B6518"/>
    <w:rsid w:val="003851AF"/>
    <w:rsid w:val="003D3889"/>
    <w:rsid w:val="00453E93"/>
    <w:rsid w:val="00462EC7"/>
    <w:rsid w:val="00473126"/>
    <w:rsid w:val="004D1F0A"/>
    <w:rsid w:val="004F4407"/>
    <w:rsid w:val="00554EAB"/>
    <w:rsid w:val="00556BCC"/>
    <w:rsid w:val="005C6679"/>
    <w:rsid w:val="005D1E5E"/>
    <w:rsid w:val="006277EC"/>
    <w:rsid w:val="00681E1A"/>
    <w:rsid w:val="006912C7"/>
    <w:rsid w:val="00695164"/>
    <w:rsid w:val="006A6FF7"/>
    <w:rsid w:val="006B61C0"/>
    <w:rsid w:val="007103D9"/>
    <w:rsid w:val="00725F6E"/>
    <w:rsid w:val="00745F1A"/>
    <w:rsid w:val="00757D1C"/>
    <w:rsid w:val="00791C11"/>
    <w:rsid w:val="007D20DF"/>
    <w:rsid w:val="0084218B"/>
    <w:rsid w:val="00843A27"/>
    <w:rsid w:val="00880BCD"/>
    <w:rsid w:val="0088764F"/>
    <w:rsid w:val="008F5479"/>
    <w:rsid w:val="009346C3"/>
    <w:rsid w:val="009737E2"/>
    <w:rsid w:val="009A1350"/>
    <w:rsid w:val="00A12FDB"/>
    <w:rsid w:val="00A35E79"/>
    <w:rsid w:val="00A82F81"/>
    <w:rsid w:val="00A83C52"/>
    <w:rsid w:val="00AB5650"/>
    <w:rsid w:val="00AB5E8A"/>
    <w:rsid w:val="00AB66F9"/>
    <w:rsid w:val="00B27528"/>
    <w:rsid w:val="00B43A39"/>
    <w:rsid w:val="00B61137"/>
    <w:rsid w:val="00BA5017"/>
    <w:rsid w:val="00C048AF"/>
    <w:rsid w:val="00C26417"/>
    <w:rsid w:val="00C863C6"/>
    <w:rsid w:val="00D348E0"/>
    <w:rsid w:val="00D431EA"/>
    <w:rsid w:val="00D608F6"/>
    <w:rsid w:val="00DC1F6C"/>
    <w:rsid w:val="00E34000"/>
    <w:rsid w:val="00E42118"/>
    <w:rsid w:val="00E45204"/>
    <w:rsid w:val="00EA5B43"/>
    <w:rsid w:val="00ED5E0A"/>
    <w:rsid w:val="00F471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616AE2"/>
  <w15:chartTrackingRefBased/>
  <w15:docId w15:val="{8F1D9BB0-9F65-4387-9DA9-822DE705F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4F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4F3A"/>
    <w:rPr>
      <w:rFonts w:asciiTheme="majorHAnsi" w:eastAsiaTheme="majorEastAsia" w:hAnsiTheme="majorHAnsi" w:cstheme="majorBidi"/>
      <w:color w:val="2F5496" w:themeColor="accent1" w:themeShade="BF"/>
      <w:sz w:val="32"/>
      <w:szCs w:val="32"/>
    </w:rPr>
  </w:style>
  <w:style w:type="paragraph" w:styleId="Bibliography">
    <w:name w:val="Bibliography"/>
    <w:basedOn w:val="Normal"/>
    <w:next w:val="Normal"/>
    <w:uiPriority w:val="37"/>
    <w:unhideWhenUsed/>
    <w:rsid w:val="00250FA0"/>
  </w:style>
  <w:style w:type="paragraph" w:styleId="EndnoteText">
    <w:name w:val="endnote text"/>
    <w:basedOn w:val="Normal"/>
    <w:link w:val="EndnoteTextChar"/>
    <w:uiPriority w:val="99"/>
    <w:semiHidden/>
    <w:unhideWhenUsed/>
    <w:rsid w:val="00F471E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471E8"/>
    <w:rPr>
      <w:sz w:val="20"/>
      <w:szCs w:val="20"/>
    </w:rPr>
  </w:style>
  <w:style w:type="character" w:styleId="EndnoteReference">
    <w:name w:val="endnote reference"/>
    <w:basedOn w:val="DefaultParagraphFont"/>
    <w:uiPriority w:val="99"/>
    <w:semiHidden/>
    <w:unhideWhenUsed/>
    <w:rsid w:val="00F471E8"/>
    <w:rPr>
      <w:vertAlign w:val="superscript"/>
    </w:rPr>
  </w:style>
  <w:style w:type="paragraph" w:styleId="FootnoteText">
    <w:name w:val="footnote text"/>
    <w:basedOn w:val="Normal"/>
    <w:link w:val="FootnoteTextChar"/>
    <w:uiPriority w:val="99"/>
    <w:semiHidden/>
    <w:unhideWhenUsed/>
    <w:rsid w:val="00C2641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26417"/>
    <w:rPr>
      <w:sz w:val="20"/>
      <w:szCs w:val="20"/>
    </w:rPr>
  </w:style>
  <w:style w:type="character" w:styleId="FootnoteReference">
    <w:name w:val="footnote reference"/>
    <w:basedOn w:val="DefaultParagraphFont"/>
    <w:uiPriority w:val="99"/>
    <w:semiHidden/>
    <w:unhideWhenUsed/>
    <w:rsid w:val="00C26417"/>
    <w:rPr>
      <w:vertAlign w:val="superscript"/>
    </w:rPr>
  </w:style>
  <w:style w:type="paragraph" w:styleId="ListParagraph">
    <w:name w:val="List Paragraph"/>
    <w:basedOn w:val="Normal"/>
    <w:uiPriority w:val="34"/>
    <w:qFormat/>
    <w:rsid w:val="009A1350"/>
    <w:pPr>
      <w:ind w:left="720"/>
      <w:contextualSpacing/>
    </w:pPr>
  </w:style>
  <w:style w:type="paragraph" w:styleId="NoSpacing">
    <w:name w:val="No Spacing"/>
    <w:uiPriority w:val="1"/>
    <w:qFormat/>
    <w:rsid w:val="0007274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261059">
      <w:bodyDiv w:val="1"/>
      <w:marLeft w:val="0"/>
      <w:marRight w:val="0"/>
      <w:marTop w:val="0"/>
      <w:marBottom w:val="0"/>
      <w:divBdr>
        <w:top w:val="none" w:sz="0" w:space="0" w:color="auto"/>
        <w:left w:val="none" w:sz="0" w:space="0" w:color="auto"/>
        <w:bottom w:val="none" w:sz="0" w:space="0" w:color="auto"/>
        <w:right w:val="none" w:sz="0" w:space="0" w:color="auto"/>
      </w:divBdr>
    </w:div>
    <w:div w:id="40908460">
      <w:bodyDiv w:val="1"/>
      <w:marLeft w:val="0"/>
      <w:marRight w:val="0"/>
      <w:marTop w:val="0"/>
      <w:marBottom w:val="0"/>
      <w:divBdr>
        <w:top w:val="none" w:sz="0" w:space="0" w:color="auto"/>
        <w:left w:val="none" w:sz="0" w:space="0" w:color="auto"/>
        <w:bottom w:val="none" w:sz="0" w:space="0" w:color="auto"/>
        <w:right w:val="none" w:sz="0" w:space="0" w:color="auto"/>
      </w:divBdr>
    </w:div>
    <w:div w:id="40911025">
      <w:bodyDiv w:val="1"/>
      <w:marLeft w:val="0"/>
      <w:marRight w:val="0"/>
      <w:marTop w:val="0"/>
      <w:marBottom w:val="0"/>
      <w:divBdr>
        <w:top w:val="none" w:sz="0" w:space="0" w:color="auto"/>
        <w:left w:val="none" w:sz="0" w:space="0" w:color="auto"/>
        <w:bottom w:val="none" w:sz="0" w:space="0" w:color="auto"/>
        <w:right w:val="none" w:sz="0" w:space="0" w:color="auto"/>
      </w:divBdr>
    </w:div>
    <w:div w:id="80873878">
      <w:bodyDiv w:val="1"/>
      <w:marLeft w:val="0"/>
      <w:marRight w:val="0"/>
      <w:marTop w:val="0"/>
      <w:marBottom w:val="0"/>
      <w:divBdr>
        <w:top w:val="none" w:sz="0" w:space="0" w:color="auto"/>
        <w:left w:val="none" w:sz="0" w:space="0" w:color="auto"/>
        <w:bottom w:val="none" w:sz="0" w:space="0" w:color="auto"/>
        <w:right w:val="none" w:sz="0" w:space="0" w:color="auto"/>
      </w:divBdr>
    </w:div>
    <w:div w:id="106892959">
      <w:bodyDiv w:val="1"/>
      <w:marLeft w:val="0"/>
      <w:marRight w:val="0"/>
      <w:marTop w:val="0"/>
      <w:marBottom w:val="0"/>
      <w:divBdr>
        <w:top w:val="none" w:sz="0" w:space="0" w:color="auto"/>
        <w:left w:val="none" w:sz="0" w:space="0" w:color="auto"/>
        <w:bottom w:val="none" w:sz="0" w:space="0" w:color="auto"/>
        <w:right w:val="none" w:sz="0" w:space="0" w:color="auto"/>
      </w:divBdr>
    </w:div>
    <w:div w:id="149370724">
      <w:bodyDiv w:val="1"/>
      <w:marLeft w:val="0"/>
      <w:marRight w:val="0"/>
      <w:marTop w:val="0"/>
      <w:marBottom w:val="0"/>
      <w:divBdr>
        <w:top w:val="none" w:sz="0" w:space="0" w:color="auto"/>
        <w:left w:val="none" w:sz="0" w:space="0" w:color="auto"/>
        <w:bottom w:val="none" w:sz="0" w:space="0" w:color="auto"/>
        <w:right w:val="none" w:sz="0" w:space="0" w:color="auto"/>
      </w:divBdr>
    </w:div>
    <w:div w:id="151718489">
      <w:bodyDiv w:val="1"/>
      <w:marLeft w:val="0"/>
      <w:marRight w:val="0"/>
      <w:marTop w:val="0"/>
      <w:marBottom w:val="0"/>
      <w:divBdr>
        <w:top w:val="none" w:sz="0" w:space="0" w:color="auto"/>
        <w:left w:val="none" w:sz="0" w:space="0" w:color="auto"/>
        <w:bottom w:val="none" w:sz="0" w:space="0" w:color="auto"/>
        <w:right w:val="none" w:sz="0" w:space="0" w:color="auto"/>
      </w:divBdr>
    </w:div>
    <w:div w:id="185142713">
      <w:bodyDiv w:val="1"/>
      <w:marLeft w:val="0"/>
      <w:marRight w:val="0"/>
      <w:marTop w:val="0"/>
      <w:marBottom w:val="0"/>
      <w:divBdr>
        <w:top w:val="none" w:sz="0" w:space="0" w:color="auto"/>
        <w:left w:val="none" w:sz="0" w:space="0" w:color="auto"/>
        <w:bottom w:val="none" w:sz="0" w:space="0" w:color="auto"/>
        <w:right w:val="none" w:sz="0" w:space="0" w:color="auto"/>
      </w:divBdr>
    </w:div>
    <w:div w:id="246966552">
      <w:bodyDiv w:val="1"/>
      <w:marLeft w:val="0"/>
      <w:marRight w:val="0"/>
      <w:marTop w:val="0"/>
      <w:marBottom w:val="0"/>
      <w:divBdr>
        <w:top w:val="none" w:sz="0" w:space="0" w:color="auto"/>
        <w:left w:val="none" w:sz="0" w:space="0" w:color="auto"/>
        <w:bottom w:val="none" w:sz="0" w:space="0" w:color="auto"/>
        <w:right w:val="none" w:sz="0" w:space="0" w:color="auto"/>
      </w:divBdr>
    </w:div>
    <w:div w:id="279915017">
      <w:bodyDiv w:val="1"/>
      <w:marLeft w:val="0"/>
      <w:marRight w:val="0"/>
      <w:marTop w:val="0"/>
      <w:marBottom w:val="0"/>
      <w:divBdr>
        <w:top w:val="none" w:sz="0" w:space="0" w:color="auto"/>
        <w:left w:val="none" w:sz="0" w:space="0" w:color="auto"/>
        <w:bottom w:val="none" w:sz="0" w:space="0" w:color="auto"/>
        <w:right w:val="none" w:sz="0" w:space="0" w:color="auto"/>
      </w:divBdr>
    </w:div>
    <w:div w:id="385181061">
      <w:bodyDiv w:val="1"/>
      <w:marLeft w:val="0"/>
      <w:marRight w:val="0"/>
      <w:marTop w:val="0"/>
      <w:marBottom w:val="0"/>
      <w:divBdr>
        <w:top w:val="none" w:sz="0" w:space="0" w:color="auto"/>
        <w:left w:val="none" w:sz="0" w:space="0" w:color="auto"/>
        <w:bottom w:val="none" w:sz="0" w:space="0" w:color="auto"/>
        <w:right w:val="none" w:sz="0" w:space="0" w:color="auto"/>
      </w:divBdr>
    </w:div>
    <w:div w:id="438263374">
      <w:bodyDiv w:val="1"/>
      <w:marLeft w:val="0"/>
      <w:marRight w:val="0"/>
      <w:marTop w:val="0"/>
      <w:marBottom w:val="0"/>
      <w:divBdr>
        <w:top w:val="none" w:sz="0" w:space="0" w:color="auto"/>
        <w:left w:val="none" w:sz="0" w:space="0" w:color="auto"/>
        <w:bottom w:val="none" w:sz="0" w:space="0" w:color="auto"/>
        <w:right w:val="none" w:sz="0" w:space="0" w:color="auto"/>
      </w:divBdr>
    </w:div>
    <w:div w:id="528182753">
      <w:bodyDiv w:val="1"/>
      <w:marLeft w:val="0"/>
      <w:marRight w:val="0"/>
      <w:marTop w:val="0"/>
      <w:marBottom w:val="0"/>
      <w:divBdr>
        <w:top w:val="none" w:sz="0" w:space="0" w:color="auto"/>
        <w:left w:val="none" w:sz="0" w:space="0" w:color="auto"/>
        <w:bottom w:val="none" w:sz="0" w:space="0" w:color="auto"/>
        <w:right w:val="none" w:sz="0" w:space="0" w:color="auto"/>
      </w:divBdr>
    </w:div>
    <w:div w:id="531960860">
      <w:bodyDiv w:val="1"/>
      <w:marLeft w:val="0"/>
      <w:marRight w:val="0"/>
      <w:marTop w:val="0"/>
      <w:marBottom w:val="0"/>
      <w:divBdr>
        <w:top w:val="none" w:sz="0" w:space="0" w:color="auto"/>
        <w:left w:val="none" w:sz="0" w:space="0" w:color="auto"/>
        <w:bottom w:val="none" w:sz="0" w:space="0" w:color="auto"/>
        <w:right w:val="none" w:sz="0" w:space="0" w:color="auto"/>
      </w:divBdr>
    </w:div>
    <w:div w:id="549079014">
      <w:bodyDiv w:val="1"/>
      <w:marLeft w:val="0"/>
      <w:marRight w:val="0"/>
      <w:marTop w:val="0"/>
      <w:marBottom w:val="0"/>
      <w:divBdr>
        <w:top w:val="none" w:sz="0" w:space="0" w:color="auto"/>
        <w:left w:val="none" w:sz="0" w:space="0" w:color="auto"/>
        <w:bottom w:val="none" w:sz="0" w:space="0" w:color="auto"/>
        <w:right w:val="none" w:sz="0" w:space="0" w:color="auto"/>
      </w:divBdr>
    </w:div>
    <w:div w:id="558252331">
      <w:bodyDiv w:val="1"/>
      <w:marLeft w:val="0"/>
      <w:marRight w:val="0"/>
      <w:marTop w:val="0"/>
      <w:marBottom w:val="0"/>
      <w:divBdr>
        <w:top w:val="none" w:sz="0" w:space="0" w:color="auto"/>
        <w:left w:val="none" w:sz="0" w:space="0" w:color="auto"/>
        <w:bottom w:val="none" w:sz="0" w:space="0" w:color="auto"/>
        <w:right w:val="none" w:sz="0" w:space="0" w:color="auto"/>
      </w:divBdr>
    </w:div>
    <w:div w:id="581185598">
      <w:bodyDiv w:val="1"/>
      <w:marLeft w:val="0"/>
      <w:marRight w:val="0"/>
      <w:marTop w:val="0"/>
      <w:marBottom w:val="0"/>
      <w:divBdr>
        <w:top w:val="none" w:sz="0" w:space="0" w:color="auto"/>
        <w:left w:val="none" w:sz="0" w:space="0" w:color="auto"/>
        <w:bottom w:val="none" w:sz="0" w:space="0" w:color="auto"/>
        <w:right w:val="none" w:sz="0" w:space="0" w:color="auto"/>
      </w:divBdr>
    </w:div>
    <w:div w:id="797799188">
      <w:bodyDiv w:val="1"/>
      <w:marLeft w:val="0"/>
      <w:marRight w:val="0"/>
      <w:marTop w:val="0"/>
      <w:marBottom w:val="0"/>
      <w:divBdr>
        <w:top w:val="none" w:sz="0" w:space="0" w:color="auto"/>
        <w:left w:val="none" w:sz="0" w:space="0" w:color="auto"/>
        <w:bottom w:val="none" w:sz="0" w:space="0" w:color="auto"/>
        <w:right w:val="none" w:sz="0" w:space="0" w:color="auto"/>
      </w:divBdr>
    </w:div>
    <w:div w:id="824200924">
      <w:bodyDiv w:val="1"/>
      <w:marLeft w:val="0"/>
      <w:marRight w:val="0"/>
      <w:marTop w:val="0"/>
      <w:marBottom w:val="0"/>
      <w:divBdr>
        <w:top w:val="none" w:sz="0" w:space="0" w:color="auto"/>
        <w:left w:val="none" w:sz="0" w:space="0" w:color="auto"/>
        <w:bottom w:val="none" w:sz="0" w:space="0" w:color="auto"/>
        <w:right w:val="none" w:sz="0" w:space="0" w:color="auto"/>
      </w:divBdr>
    </w:div>
    <w:div w:id="837889550">
      <w:bodyDiv w:val="1"/>
      <w:marLeft w:val="0"/>
      <w:marRight w:val="0"/>
      <w:marTop w:val="0"/>
      <w:marBottom w:val="0"/>
      <w:divBdr>
        <w:top w:val="none" w:sz="0" w:space="0" w:color="auto"/>
        <w:left w:val="none" w:sz="0" w:space="0" w:color="auto"/>
        <w:bottom w:val="none" w:sz="0" w:space="0" w:color="auto"/>
        <w:right w:val="none" w:sz="0" w:space="0" w:color="auto"/>
      </w:divBdr>
    </w:div>
    <w:div w:id="884221759">
      <w:bodyDiv w:val="1"/>
      <w:marLeft w:val="0"/>
      <w:marRight w:val="0"/>
      <w:marTop w:val="0"/>
      <w:marBottom w:val="0"/>
      <w:divBdr>
        <w:top w:val="none" w:sz="0" w:space="0" w:color="auto"/>
        <w:left w:val="none" w:sz="0" w:space="0" w:color="auto"/>
        <w:bottom w:val="none" w:sz="0" w:space="0" w:color="auto"/>
        <w:right w:val="none" w:sz="0" w:space="0" w:color="auto"/>
      </w:divBdr>
    </w:div>
    <w:div w:id="942613170">
      <w:bodyDiv w:val="1"/>
      <w:marLeft w:val="0"/>
      <w:marRight w:val="0"/>
      <w:marTop w:val="0"/>
      <w:marBottom w:val="0"/>
      <w:divBdr>
        <w:top w:val="none" w:sz="0" w:space="0" w:color="auto"/>
        <w:left w:val="none" w:sz="0" w:space="0" w:color="auto"/>
        <w:bottom w:val="none" w:sz="0" w:space="0" w:color="auto"/>
        <w:right w:val="none" w:sz="0" w:space="0" w:color="auto"/>
      </w:divBdr>
    </w:div>
    <w:div w:id="1211386321">
      <w:bodyDiv w:val="1"/>
      <w:marLeft w:val="0"/>
      <w:marRight w:val="0"/>
      <w:marTop w:val="0"/>
      <w:marBottom w:val="0"/>
      <w:divBdr>
        <w:top w:val="none" w:sz="0" w:space="0" w:color="auto"/>
        <w:left w:val="none" w:sz="0" w:space="0" w:color="auto"/>
        <w:bottom w:val="none" w:sz="0" w:space="0" w:color="auto"/>
        <w:right w:val="none" w:sz="0" w:space="0" w:color="auto"/>
      </w:divBdr>
    </w:div>
    <w:div w:id="1283805336">
      <w:bodyDiv w:val="1"/>
      <w:marLeft w:val="0"/>
      <w:marRight w:val="0"/>
      <w:marTop w:val="0"/>
      <w:marBottom w:val="0"/>
      <w:divBdr>
        <w:top w:val="none" w:sz="0" w:space="0" w:color="auto"/>
        <w:left w:val="none" w:sz="0" w:space="0" w:color="auto"/>
        <w:bottom w:val="none" w:sz="0" w:space="0" w:color="auto"/>
        <w:right w:val="none" w:sz="0" w:space="0" w:color="auto"/>
      </w:divBdr>
    </w:div>
    <w:div w:id="1337607874">
      <w:bodyDiv w:val="1"/>
      <w:marLeft w:val="0"/>
      <w:marRight w:val="0"/>
      <w:marTop w:val="0"/>
      <w:marBottom w:val="0"/>
      <w:divBdr>
        <w:top w:val="none" w:sz="0" w:space="0" w:color="auto"/>
        <w:left w:val="none" w:sz="0" w:space="0" w:color="auto"/>
        <w:bottom w:val="none" w:sz="0" w:space="0" w:color="auto"/>
        <w:right w:val="none" w:sz="0" w:space="0" w:color="auto"/>
      </w:divBdr>
    </w:div>
    <w:div w:id="1344627167">
      <w:bodyDiv w:val="1"/>
      <w:marLeft w:val="0"/>
      <w:marRight w:val="0"/>
      <w:marTop w:val="0"/>
      <w:marBottom w:val="0"/>
      <w:divBdr>
        <w:top w:val="none" w:sz="0" w:space="0" w:color="auto"/>
        <w:left w:val="none" w:sz="0" w:space="0" w:color="auto"/>
        <w:bottom w:val="none" w:sz="0" w:space="0" w:color="auto"/>
        <w:right w:val="none" w:sz="0" w:space="0" w:color="auto"/>
      </w:divBdr>
    </w:div>
    <w:div w:id="1379551706">
      <w:bodyDiv w:val="1"/>
      <w:marLeft w:val="0"/>
      <w:marRight w:val="0"/>
      <w:marTop w:val="0"/>
      <w:marBottom w:val="0"/>
      <w:divBdr>
        <w:top w:val="none" w:sz="0" w:space="0" w:color="auto"/>
        <w:left w:val="none" w:sz="0" w:space="0" w:color="auto"/>
        <w:bottom w:val="none" w:sz="0" w:space="0" w:color="auto"/>
        <w:right w:val="none" w:sz="0" w:space="0" w:color="auto"/>
      </w:divBdr>
    </w:div>
    <w:div w:id="1435899711">
      <w:bodyDiv w:val="1"/>
      <w:marLeft w:val="0"/>
      <w:marRight w:val="0"/>
      <w:marTop w:val="0"/>
      <w:marBottom w:val="0"/>
      <w:divBdr>
        <w:top w:val="none" w:sz="0" w:space="0" w:color="auto"/>
        <w:left w:val="none" w:sz="0" w:space="0" w:color="auto"/>
        <w:bottom w:val="none" w:sz="0" w:space="0" w:color="auto"/>
        <w:right w:val="none" w:sz="0" w:space="0" w:color="auto"/>
      </w:divBdr>
    </w:div>
    <w:div w:id="1549298747">
      <w:bodyDiv w:val="1"/>
      <w:marLeft w:val="0"/>
      <w:marRight w:val="0"/>
      <w:marTop w:val="0"/>
      <w:marBottom w:val="0"/>
      <w:divBdr>
        <w:top w:val="none" w:sz="0" w:space="0" w:color="auto"/>
        <w:left w:val="none" w:sz="0" w:space="0" w:color="auto"/>
        <w:bottom w:val="none" w:sz="0" w:space="0" w:color="auto"/>
        <w:right w:val="none" w:sz="0" w:space="0" w:color="auto"/>
      </w:divBdr>
    </w:div>
    <w:div w:id="1607618988">
      <w:bodyDiv w:val="1"/>
      <w:marLeft w:val="0"/>
      <w:marRight w:val="0"/>
      <w:marTop w:val="0"/>
      <w:marBottom w:val="0"/>
      <w:divBdr>
        <w:top w:val="none" w:sz="0" w:space="0" w:color="auto"/>
        <w:left w:val="none" w:sz="0" w:space="0" w:color="auto"/>
        <w:bottom w:val="none" w:sz="0" w:space="0" w:color="auto"/>
        <w:right w:val="none" w:sz="0" w:space="0" w:color="auto"/>
      </w:divBdr>
    </w:div>
    <w:div w:id="1613971728">
      <w:bodyDiv w:val="1"/>
      <w:marLeft w:val="0"/>
      <w:marRight w:val="0"/>
      <w:marTop w:val="0"/>
      <w:marBottom w:val="0"/>
      <w:divBdr>
        <w:top w:val="none" w:sz="0" w:space="0" w:color="auto"/>
        <w:left w:val="none" w:sz="0" w:space="0" w:color="auto"/>
        <w:bottom w:val="none" w:sz="0" w:space="0" w:color="auto"/>
        <w:right w:val="none" w:sz="0" w:space="0" w:color="auto"/>
      </w:divBdr>
    </w:div>
    <w:div w:id="1627278022">
      <w:bodyDiv w:val="1"/>
      <w:marLeft w:val="0"/>
      <w:marRight w:val="0"/>
      <w:marTop w:val="0"/>
      <w:marBottom w:val="0"/>
      <w:divBdr>
        <w:top w:val="none" w:sz="0" w:space="0" w:color="auto"/>
        <w:left w:val="none" w:sz="0" w:space="0" w:color="auto"/>
        <w:bottom w:val="none" w:sz="0" w:space="0" w:color="auto"/>
        <w:right w:val="none" w:sz="0" w:space="0" w:color="auto"/>
      </w:divBdr>
    </w:div>
    <w:div w:id="1679767039">
      <w:bodyDiv w:val="1"/>
      <w:marLeft w:val="0"/>
      <w:marRight w:val="0"/>
      <w:marTop w:val="0"/>
      <w:marBottom w:val="0"/>
      <w:divBdr>
        <w:top w:val="none" w:sz="0" w:space="0" w:color="auto"/>
        <w:left w:val="none" w:sz="0" w:space="0" w:color="auto"/>
        <w:bottom w:val="none" w:sz="0" w:space="0" w:color="auto"/>
        <w:right w:val="none" w:sz="0" w:space="0" w:color="auto"/>
      </w:divBdr>
    </w:div>
    <w:div w:id="1706364984">
      <w:bodyDiv w:val="1"/>
      <w:marLeft w:val="0"/>
      <w:marRight w:val="0"/>
      <w:marTop w:val="0"/>
      <w:marBottom w:val="0"/>
      <w:divBdr>
        <w:top w:val="none" w:sz="0" w:space="0" w:color="auto"/>
        <w:left w:val="none" w:sz="0" w:space="0" w:color="auto"/>
        <w:bottom w:val="none" w:sz="0" w:space="0" w:color="auto"/>
        <w:right w:val="none" w:sz="0" w:space="0" w:color="auto"/>
      </w:divBdr>
    </w:div>
    <w:div w:id="1765027976">
      <w:bodyDiv w:val="1"/>
      <w:marLeft w:val="0"/>
      <w:marRight w:val="0"/>
      <w:marTop w:val="0"/>
      <w:marBottom w:val="0"/>
      <w:divBdr>
        <w:top w:val="none" w:sz="0" w:space="0" w:color="auto"/>
        <w:left w:val="none" w:sz="0" w:space="0" w:color="auto"/>
        <w:bottom w:val="none" w:sz="0" w:space="0" w:color="auto"/>
        <w:right w:val="none" w:sz="0" w:space="0" w:color="auto"/>
      </w:divBdr>
    </w:div>
    <w:div w:id="1845707544">
      <w:bodyDiv w:val="1"/>
      <w:marLeft w:val="0"/>
      <w:marRight w:val="0"/>
      <w:marTop w:val="0"/>
      <w:marBottom w:val="0"/>
      <w:divBdr>
        <w:top w:val="none" w:sz="0" w:space="0" w:color="auto"/>
        <w:left w:val="none" w:sz="0" w:space="0" w:color="auto"/>
        <w:bottom w:val="none" w:sz="0" w:space="0" w:color="auto"/>
        <w:right w:val="none" w:sz="0" w:space="0" w:color="auto"/>
      </w:divBdr>
    </w:div>
    <w:div w:id="1951544319">
      <w:bodyDiv w:val="1"/>
      <w:marLeft w:val="0"/>
      <w:marRight w:val="0"/>
      <w:marTop w:val="0"/>
      <w:marBottom w:val="0"/>
      <w:divBdr>
        <w:top w:val="none" w:sz="0" w:space="0" w:color="auto"/>
        <w:left w:val="none" w:sz="0" w:space="0" w:color="auto"/>
        <w:bottom w:val="none" w:sz="0" w:space="0" w:color="auto"/>
        <w:right w:val="none" w:sz="0" w:space="0" w:color="auto"/>
      </w:divBdr>
    </w:div>
    <w:div w:id="2013406255">
      <w:bodyDiv w:val="1"/>
      <w:marLeft w:val="0"/>
      <w:marRight w:val="0"/>
      <w:marTop w:val="0"/>
      <w:marBottom w:val="0"/>
      <w:divBdr>
        <w:top w:val="none" w:sz="0" w:space="0" w:color="auto"/>
        <w:left w:val="none" w:sz="0" w:space="0" w:color="auto"/>
        <w:bottom w:val="none" w:sz="0" w:space="0" w:color="auto"/>
        <w:right w:val="none" w:sz="0" w:space="0" w:color="auto"/>
      </w:divBdr>
    </w:div>
    <w:div w:id="2046371753">
      <w:bodyDiv w:val="1"/>
      <w:marLeft w:val="0"/>
      <w:marRight w:val="0"/>
      <w:marTop w:val="0"/>
      <w:marBottom w:val="0"/>
      <w:divBdr>
        <w:top w:val="none" w:sz="0" w:space="0" w:color="auto"/>
        <w:left w:val="none" w:sz="0" w:space="0" w:color="auto"/>
        <w:bottom w:val="none" w:sz="0" w:space="0" w:color="auto"/>
        <w:right w:val="none" w:sz="0" w:space="0" w:color="auto"/>
      </w:divBdr>
    </w:div>
    <w:div w:id="2051487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Dav18</b:Tag>
    <b:SourceType>Book</b:SourceType>
    <b:Guid>{2AAF2958-C6AC-45DF-A30B-0CC3B4E04822}</b:Guid>
    <b:Author>
      <b:Author>
        <b:NameList>
          <b:Person>
            <b:Last>Wengrow</b:Last>
            <b:First>David</b:First>
          </b:Person>
        </b:NameList>
      </b:Author>
    </b:Author>
    <b:Title>What Makes Civilization?: The Ancient Near East and the Future of the West</b:Title>
    <b:Year>2018</b:Year>
    <b:City>Oxford</b:City>
    <b:Publisher>Oxford University Press</b:Publisher>
    <b:RefOrder>11</b:RefOrder>
  </b:Source>
  <b:Source>
    <b:Tag>Sah09</b:Tag>
    <b:SourceType>ArticleInAPeriodical</b:SourceType>
    <b:Guid>{5BAFE418-19D3-4038-8613-EB123E850974}</b:Guid>
    <b:Title>Hunter-Gatherers: Insights from a Golden Affluent Age</b:Title>
    <b:Year>2009</b:Year>
    <b:Author>
      <b:Author>
        <b:NameList>
          <b:Person>
            <b:Last>Sahlins</b:Last>
            <b:First>Marshall</b:First>
          </b:Person>
        </b:NameList>
      </b:Author>
    </b:Author>
    <b:PeriodicalTitle>Pacific Ecologist</b:PeriodicalTitle>
    <b:Pages>3-8</b:Pages>
    <b:Issue>18</b:Issue>
    <b:RefOrder>4</b:RefOrder>
  </b:Source>
  <b:Source>
    <b:Tag>Jea09</b:Tag>
    <b:SourceType>Book</b:SourceType>
    <b:Guid>{BF72E942-B98E-427E-8641-E7561C162833}</b:Guid>
    <b:Author>
      <b:Author>
        <b:NameList>
          <b:Person>
            <b:Last>Rousseau</b:Last>
            <b:First>Jean-Jacques</b:First>
          </b:Person>
        </b:NameList>
      </b:Author>
    </b:Author>
    <b:Title>Discourse on Inequality: On the Origin and Basis of Inequality Among Men</b:Title>
    <b:Year>2009</b:Year>
    <b:City>Auckland</b:City>
    <b:Publisher>Floating Press</b:Publisher>
    <b:RefOrder>1</b:RefOrder>
  </b:Source>
  <b:Source>
    <b:Tag>Mau90</b:Tag>
    <b:SourceType>Book</b:SourceType>
    <b:Guid>{6A114B41-68BD-4527-B45D-D17AE7FFBF90}</b:Guid>
    <b:Author>
      <b:Author>
        <b:NameList>
          <b:Person>
            <b:Last>Mauss</b:Last>
            <b:First>Marcel</b:First>
          </b:Person>
          <b:Person>
            <b:Last>Halls</b:Last>
            <b:Middle>D.</b:Middle>
            <b:First>W.</b:First>
          </b:Person>
        </b:NameList>
      </b:Author>
    </b:Author>
    <b:Title>The Gift</b:Title>
    <b:Year>1990</b:Year>
    <b:RefOrder>9</b:RefOrder>
  </b:Source>
  <b:Source>
    <b:Tag>Mal50</b:Tag>
    <b:SourceType>Book</b:SourceType>
    <b:Guid>{96D07559-3988-4970-B2E3-70EAA06A9F64}</b:Guid>
    <b:Author>
      <b:Author>
        <b:NameList>
          <b:Person>
            <b:Last>Malinowski</b:Last>
            <b:First>Bronislaw</b:First>
          </b:Person>
        </b:NameList>
      </b:Author>
    </b:Author>
    <b:Title>Argonauts of the Western Pacific : an Account of Native Enterprise and Adventure in the Archipelagoes of Melanesian New Guinea</b:Title>
    <b:Year>1950</b:Year>
    <b:City>New York</b:City>
    <b:Publisher>E.P. Dutton</b:Publisher>
    <b:RefOrder>8</b:RefOrder>
  </b:Source>
  <b:Source>
    <b:Tag>Dav01</b:Tag>
    <b:SourceType>Book</b:SourceType>
    <b:Guid>{38CC27AB-8F5B-4D57-89A0-0059A614C939}</b:Guid>
    <b:Author>
      <b:Author>
        <b:NameList>
          <b:Person>
            <b:Last>Graeber</b:Last>
            <b:First>David</b:First>
          </b:Person>
        </b:NameList>
      </b:Author>
    </b:Author>
    <b:Title>Toward an Anthropological Theory of Value: The False Coin of Our Own Dreams</b:Title>
    <b:Year>2001</b:Year>
    <b:City>New York</b:City>
    <b:Publisher>Palgrave</b:Publisher>
    <b:RefOrder>10</b:RefOrder>
  </b:Source>
  <b:Source>
    <b:Tag>Gra21</b:Tag>
    <b:SourceType>Book</b:SourceType>
    <b:Guid>{3CB2CD7A-34C2-49D8-A256-517D936FA92C}</b:Guid>
    <b:Author>
      <b:Author>
        <b:NameList>
          <b:Person>
            <b:Last>Graeber</b:Last>
            <b:First>David</b:First>
          </b:Person>
          <b:Person>
            <b:Last>Wengrow</b:Last>
            <b:First>David</b:First>
          </b:Person>
        </b:NameList>
      </b:Author>
    </b:Author>
    <b:Title>The Dawn of Everything</b:Title>
    <b:Year>2021</b:Year>
    <b:Publisher>Farrar, Straus and Giroux</b:Publisher>
    <b:RefOrder>2</b:RefOrder>
  </b:Source>
  <b:Source>
    <b:Tag>Fix19</b:Tag>
    <b:SourceType>JournalArticle</b:SourceType>
    <b:Guid>{028B93DD-7CDE-4135-93D7-E85D419B49F7}</b:Guid>
    <b:Author>
      <b:Author>
        <b:NameList>
          <b:Person>
            <b:Last>Fix</b:Last>
            <b:First>Blair</b:First>
          </b:Person>
        </b:NameList>
      </b:Author>
    </b:Author>
    <b:Title>Energy, hierarchy and the Origin of Inequality</b:Title>
    <b:Year>2019</b:Year>
    <b:JournalName>PloS One</b:JournalName>
    <b:DOI>10.1371/journal.pone/0215692</b:DOI>
    <b:RefOrder>3</b:RefOrder>
  </b:Source>
  <b:Source>
    <b:Tag>Sil04</b:Tag>
    <b:SourceType>Book</b:SourceType>
    <b:Guid>{A9CB963A-F597-4682-B7BD-E0C10D4C1766}</b:Guid>
    <b:Author>
      <b:Author>
        <b:NameList>
          <b:Person>
            <b:Last>Federici</b:Last>
            <b:First>Silvia</b:First>
          </b:Person>
        </b:NameList>
      </b:Author>
    </b:Author>
    <b:Title>Caliban and the Witch: Women, the Body, and Primitive Accumulation</b:Title>
    <b:Year>2004</b:Year>
    <b:Publisher>Autonomedia</b:Publisher>
    <b:RefOrder>7</b:RefOrder>
  </b:Source>
  <b:Source>
    <b:Tag>Kro76</b:Tag>
    <b:SourceType>Book</b:SourceType>
    <b:Guid>{A5FB564E-2F64-4FEB-AD29-3739C3956C70}</b:Guid>
    <b:Title>Handbook of the Indians of California</b:Title>
    <b:Year>1976</b:Year>
    <b:Publisher>Dover Publications</b:Publisher>
    <b:City>New York</b:City>
    <b:Author>
      <b:Author>
        <b:NameList>
          <b:Person>
            <b:Last>Kroeber</b:Last>
            <b:Middle>L</b:Middle>
            <b:First>Alfred</b:First>
          </b:Person>
        </b:NameList>
      </b:Author>
    </b:Author>
    <b:RefOrder>5</b:RefOrder>
  </b:Source>
  <b:Source>
    <b:Tag>Eng02</b:Tag>
    <b:SourceType>Book</b:SourceType>
    <b:Guid>{58C8E4BF-4F86-46B1-B3B7-D09049117CC3}</b:Guid>
    <b:Title>The Origin of the Family, Private Property, and the State</b:Title>
    <b:Year>1902</b:Year>
    <b:City>Chicago</b:City>
    <b:Publisher>Charles H. Kerr &amp; Co.</b:Publisher>
    <b:Author>
      <b:Author>
        <b:NameList>
          <b:Person>
            <b:Last>Engels</b:Last>
            <b:First>Frederick</b:First>
          </b:Person>
        </b:NameList>
      </b:Author>
      <b:Translator>
        <b:NameList>
          <b:Person>
            <b:Last>Untermann</b:Last>
            <b:First>Erest</b:First>
          </b:Person>
        </b:NameList>
      </b:Translator>
    </b:Author>
    <b:RefOrder>6</b:RefOrder>
  </b:Source>
</b:Sources>
</file>

<file path=customXml/itemProps1.xml><?xml version="1.0" encoding="utf-8"?>
<ds:datastoreItem xmlns:ds="http://schemas.openxmlformats.org/officeDocument/2006/customXml" ds:itemID="{38D43EE9-8408-4B17-9BFD-802886419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1694</TotalTime>
  <Pages>13</Pages>
  <Words>3336</Words>
  <Characters>19020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 Whistler-brown</dc:creator>
  <cp:keywords/>
  <dc:description/>
  <cp:lastModifiedBy>Will Whistler-brown</cp:lastModifiedBy>
  <cp:revision>9</cp:revision>
  <dcterms:created xsi:type="dcterms:W3CDTF">2022-12-08T19:02:00Z</dcterms:created>
  <dcterms:modified xsi:type="dcterms:W3CDTF">2022-12-10T15:23:00Z</dcterms:modified>
</cp:coreProperties>
</file>